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70" w:rsidRPr="003006D1" w:rsidRDefault="00EC0107" w:rsidP="00D46469">
      <w:pPr>
        <w:jc w:val="center"/>
        <w:rPr>
          <w:rFonts w:asciiTheme="minorHAnsi" w:hAnsiTheme="minorHAnsi" w:cstheme="minorHAnsi"/>
          <w:i/>
        </w:rPr>
      </w:pPr>
      <w:r>
        <w:rPr>
          <w:rFonts w:asciiTheme="minorHAnsi" w:hAnsiTheme="minorHAnsi" w:cstheme="minorHAnsi"/>
          <w:b/>
        </w:rPr>
        <w:t>POSITION PAPER OF</w:t>
      </w:r>
      <w:r w:rsidR="008D1770" w:rsidRPr="003006D1">
        <w:rPr>
          <w:rFonts w:asciiTheme="minorHAnsi" w:hAnsiTheme="minorHAnsi" w:cstheme="minorHAnsi"/>
          <w:b/>
        </w:rPr>
        <w:t xml:space="preserve"> INVESTMENT AND TRADE WORKING GROUP</w:t>
      </w:r>
    </w:p>
    <w:p w:rsidR="00303C58" w:rsidRDefault="00303C58" w:rsidP="00D46469">
      <w:pPr>
        <w:jc w:val="both"/>
        <w:rPr>
          <w:rFonts w:asciiTheme="minorHAnsi" w:hAnsiTheme="minorHAnsi" w:cstheme="minorHAnsi"/>
          <w:i/>
        </w:rPr>
      </w:pPr>
    </w:p>
    <w:p w:rsidR="00303C58" w:rsidRDefault="00303C58" w:rsidP="00D46469">
      <w:pPr>
        <w:jc w:val="right"/>
        <w:rPr>
          <w:rFonts w:asciiTheme="minorHAnsi" w:hAnsiTheme="minorHAnsi" w:cstheme="minorHAnsi"/>
          <w:i/>
        </w:rPr>
      </w:pPr>
      <w:r>
        <w:rPr>
          <w:rFonts w:asciiTheme="minorHAnsi" w:hAnsiTheme="minorHAnsi" w:cstheme="minorHAnsi"/>
          <w:i/>
        </w:rPr>
        <w:t>Prepared by</w:t>
      </w:r>
    </w:p>
    <w:p w:rsidR="00EC0107" w:rsidRDefault="008D1770" w:rsidP="00D46469">
      <w:pPr>
        <w:jc w:val="right"/>
        <w:rPr>
          <w:rFonts w:asciiTheme="minorHAnsi" w:hAnsiTheme="minorHAnsi" w:cstheme="minorHAnsi"/>
          <w:i/>
        </w:rPr>
      </w:pPr>
      <w:r w:rsidRPr="003006D1">
        <w:rPr>
          <w:rFonts w:asciiTheme="minorHAnsi" w:hAnsiTheme="minorHAnsi" w:cstheme="minorHAnsi"/>
          <w:i/>
        </w:rPr>
        <w:t>Investment &amp; Trade Working Group</w:t>
      </w:r>
    </w:p>
    <w:p w:rsidR="008D1770" w:rsidRPr="003006D1" w:rsidRDefault="00714CD5" w:rsidP="00D46469">
      <w:pPr>
        <w:jc w:val="right"/>
        <w:rPr>
          <w:rFonts w:asciiTheme="minorHAnsi" w:hAnsiTheme="minorHAnsi" w:cstheme="minorHAnsi"/>
          <w:i/>
        </w:rPr>
      </w:pPr>
      <w:r w:rsidRPr="003006D1">
        <w:rPr>
          <w:rFonts w:asciiTheme="minorHAnsi" w:hAnsiTheme="minorHAnsi" w:cstheme="minorHAnsi"/>
          <w:i/>
        </w:rPr>
        <w:br/>
      </w:r>
    </w:p>
    <w:p w:rsidR="00A864BC" w:rsidRPr="003006D1" w:rsidRDefault="00490506" w:rsidP="00D46469">
      <w:pPr>
        <w:pStyle w:val="Heading1"/>
        <w:spacing w:after="0" w:line="240" w:lineRule="auto"/>
        <w:ind w:left="270" w:hanging="270"/>
        <w:jc w:val="both"/>
        <w:rPr>
          <w:rFonts w:asciiTheme="minorHAnsi" w:hAnsiTheme="minorHAnsi" w:cstheme="minorHAnsi"/>
        </w:rPr>
      </w:pPr>
      <w:bookmarkStart w:id="0" w:name="_Toc467595460"/>
      <w:r>
        <w:rPr>
          <w:rFonts w:asciiTheme="minorHAnsi" w:hAnsiTheme="minorHAnsi" w:cstheme="minorHAnsi"/>
        </w:rPr>
        <w:t xml:space="preserve">The </w:t>
      </w:r>
      <w:proofErr w:type="spellStart"/>
      <w:r>
        <w:rPr>
          <w:rFonts w:asciiTheme="minorHAnsi" w:hAnsiTheme="minorHAnsi" w:cstheme="minorHAnsi"/>
        </w:rPr>
        <w:t>EV</w:t>
      </w:r>
      <w:r w:rsidR="00C27180">
        <w:rPr>
          <w:rFonts w:asciiTheme="minorHAnsi" w:hAnsiTheme="minorHAnsi" w:cstheme="minorHAnsi"/>
        </w:rPr>
        <w:t>FTA</w:t>
      </w:r>
      <w:proofErr w:type="spellEnd"/>
      <w:r w:rsidR="00C27180">
        <w:rPr>
          <w:rFonts w:asciiTheme="minorHAnsi" w:hAnsiTheme="minorHAnsi" w:cstheme="minorHAnsi"/>
        </w:rPr>
        <w:t xml:space="preserve">, </w:t>
      </w:r>
      <w:r w:rsidR="00755479">
        <w:rPr>
          <w:rFonts w:asciiTheme="minorHAnsi" w:hAnsiTheme="minorHAnsi" w:cstheme="minorHAnsi"/>
        </w:rPr>
        <w:t>Comprehensive and Progressive Trans-Pacific Partnership</w:t>
      </w:r>
      <w:bookmarkEnd w:id="0"/>
      <w:r w:rsidR="00C27180">
        <w:rPr>
          <w:rFonts w:asciiTheme="minorHAnsi" w:hAnsiTheme="minorHAnsi" w:cstheme="minorHAnsi"/>
        </w:rPr>
        <w:t>, and other important Trade Agreements</w:t>
      </w:r>
    </w:p>
    <w:p w:rsidR="00D04ECA" w:rsidRDefault="00D04ECA" w:rsidP="00D46469">
      <w:pPr>
        <w:jc w:val="both"/>
        <w:rPr>
          <w:color w:val="000000"/>
        </w:rPr>
      </w:pPr>
    </w:p>
    <w:p w:rsidR="00175037" w:rsidRPr="00303C58" w:rsidRDefault="00175037" w:rsidP="00D46469">
      <w:pPr>
        <w:jc w:val="both"/>
      </w:pPr>
      <w:r w:rsidRPr="00303C58">
        <w:rPr>
          <w:color w:val="000000"/>
        </w:rPr>
        <w:t xml:space="preserve">The Investment and Trade Working Group </w:t>
      </w:r>
      <w:r w:rsidR="00C27180" w:rsidRPr="00303C58">
        <w:rPr>
          <w:color w:val="000000"/>
        </w:rPr>
        <w:t xml:space="preserve">takes note of the fact that </w:t>
      </w:r>
      <w:r w:rsidRPr="00303C58">
        <w:rPr>
          <w:color w:val="000000"/>
        </w:rPr>
        <w:t xml:space="preserve">the </w:t>
      </w:r>
      <w:r w:rsidRPr="00303C58">
        <w:rPr>
          <w:color w:val="000000"/>
          <w:shd w:val="clear" w:color="auto" w:fill="FFFFFF"/>
        </w:rPr>
        <w:t xml:space="preserve">EU–Vietnam Free Trade Agreement will be </w:t>
      </w:r>
      <w:r w:rsidR="00C27180" w:rsidRPr="00303C58">
        <w:rPr>
          <w:color w:val="000000"/>
          <w:shd w:val="clear" w:color="auto" w:fill="FFFFFF"/>
        </w:rPr>
        <w:t>on</w:t>
      </w:r>
      <w:r w:rsidRPr="00303C58">
        <w:rPr>
          <w:color w:val="000000"/>
          <w:shd w:val="clear" w:color="auto" w:fill="FFFFFF"/>
        </w:rPr>
        <w:t xml:space="preserve"> the Agenda of the EU Parliament by mid-2018 and </w:t>
      </w:r>
      <w:r w:rsidR="00C27180" w:rsidRPr="00303C58">
        <w:rPr>
          <w:color w:val="000000"/>
          <w:shd w:val="clear" w:color="auto" w:fill="FFFFFF"/>
        </w:rPr>
        <w:t xml:space="preserve">when that happens, we hope that the </w:t>
      </w:r>
      <w:r w:rsidRPr="00303C58">
        <w:rPr>
          <w:color w:val="000000"/>
          <w:shd w:val="clear" w:color="auto" w:fill="FFFFFF"/>
        </w:rPr>
        <w:t xml:space="preserve">750 Members of the European Parliament will give </w:t>
      </w:r>
      <w:r w:rsidR="00C27180" w:rsidRPr="00303C58">
        <w:rPr>
          <w:color w:val="000000"/>
          <w:shd w:val="clear" w:color="auto" w:fill="FFFFFF"/>
        </w:rPr>
        <w:t>their</w:t>
      </w:r>
      <w:r w:rsidRPr="00303C58">
        <w:rPr>
          <w:color w:val="000000"/>
          <w:shd w:val="clear" w:color="auto" w:fill="FFFFFF"/>
        </w:rPr>
        <w:t xml:space="preserve"> approval in a plenary session, </w:t>
      </w:r>
      <w:r w:rsidR="00C27180" w:rsidRPr="00303C58">
        <w:rPr>
          <w:color w:val="000000"/>
          <w:shd w:val="clear" w:color="auto" w:fill="FFFFFF"/>
        </w:rPr>
        <w:t xml:space="preserve">just as we hope </w:t>
      </w:r>
      <w:r w:rsidRPr="00303C58">
        <w:rPr>
          <w:color w:val="000000"/>
          <w:shd w:val="clear" w:color="auto" w:fill="FFFFFF"/>
        </w:rPr>
        <w:t xml:space="preserve">the National Assembly will do </w:t>
      </w:r>
      <w:r w:rsidR="00C27180" w:rsidRPr="00303C58">
        <w:rPr>
          <w:color w:val="000000"/>
          <w:shd w:val="clear" w:color="auto" w:fill="FFFFFF"/>
        </w:rPr>
        <w:t>for</w:t>
      </w:r>
      <w:r w:rsidRPr="00303C58">
        <w:rPr>
          <w:color w:val="000000"/>
          <w:shd w:val="clear" w:color="auto" w:fill="FFFFFF"/>
        </w:rPr>
        <w:t xml:space="preserve"> Vietnam. </w:t>
      </w:r>
      <w:r w:rsidRPr="00303C58">
        <w:rPr>
          <w:color w:val="000000"/>
        </w:rPr>
        <w:t>We have seen an increasing questioning from the public in general of the benefits of trade liberalization. In this context, the Investment and Trade Working Group expect</w:t>
      </w:r>
      <w:r w:rsidR="00C27180" w:rsidRPr="00303C58">
        <w:rPr>
          <w:color w:val="000000"/>
        </w:rPr>
        <w:t>s</w:t>
      </w:r>
      <w:r w:rsidRPr="00303C58">
        <w:rPr>
          <w:color w:val="000000"/>
        </w:rPr>
        <w:t xml:space="preserve"> </w:t>
      </w:r>
      <w:r w:rsidR="00C27180" w:rsidRPr="00303C58">
        <w:rPr>
          <w:color w:val="000000"/>
        </w:rPr>
        <w:t xml:space="preserve">the European Parliament members to raise </w:t>
      </w:r>
      <w:r w:rsidRPr="00303C58">
        <w:rPr>
          <w:color w:val="000000"/>
        </w:rPr>
        <w:t xml:space="preserve">questions on regulations that the Vietnamese Government has recently adopted notably in the Pharmaceuticals and Wine &amp; Spirits sectors, sustainable development and the implementation of the Paris Agreement, and finally human and </w:t>
      </w:r>
      <w:proofErr w:type="spellStart"/>
      <w:r w:rsidRPr="00303C58">
        <w:rPr>
          <w:color w:val="000000"/>
        </w:rPr>
        <w:t>labor</w:t>
      </w:r>
      <w:proofErr w:type="spellEnd"/>
      <w:r w:rsidRPr="00303C58">
        <w:rPr>
          <w:color w:val="000000"/>
        </w:rPr>
        <w:t xml:space="preserve"> rights. All these issues will be extremely important and we need to anticipate </w:t>
      </w:r>
      <w:r w:rsidR="003C2E5D" w:rsidRPr="00303C58">
        <w:rPr>
          <w:color w:val="000000"/>
        </w:rPr>
        <w:t xml:space="preserve">and actively address </w:t>
      </w:r>
      <w:r w:rsidRPr="00303C58">
        <w:rPr>
          <w:color w:val="000000"/>
        </w:rPr>
        <w:t>the concerns the Members of the European Parliament and national constituencies.</w:t>
      </w:r>
    </w:p>
    <w:p w:rsidR="00175037" w:rsidRPr="00303C58" w:rsidRDefault="00175037" w:rsidP="00D46469">
      <w:pPr>
        <w:jc w:val="both"/>
      </w:pPr>
      <w:r w:rsidRPr="00303C58">
        <w:t> </w:t>
      </w:r>
    </w:p>
    <w:p w:rsidR="00175037" w:rsidRPr="00303C58" w:rsidRDefault="00175037" w:rsidP="00D46469">
      <w:pPr>
        <w:jc w:val="both"/>
      </w:pPr>
      <w:r w:rsidRPr="00303C58">
        <w:t xml:space="preserve">There are some fears that recent developments could lead to a risk of a reduction of Vietnam’s imports from the EU as the EU-Vietnam </w:t>
      </w:r>
      <w:proofErr w:type="spellStart"/>
      <w:r w:rsidRPr="00D46469">
        <w:t>FTA</w:t>
      </w:r>
      <w:proofErr w:type="spellEnd"/>
      <w:r w:rsidRPr="00D46469">
        <w:t xml:space="preserve"> is not yet in force. </w:t>
      </w:r>
      <w:r w:rsidR="007D4F4A" w:rsidRPr="00D46469">
        <w:t>We hope that t</w:t>
      </w:r>
      <w:r w:rsidRPr="00D46469">
        <w:t xml:space="preserve">he Government </w:t>
      </w:r>
      <w:r w:rsidR="003C2E5D" w:rsidRPr="00D46469">
        <w:t>should not</w:t>
      </w:r>
      <w:r w:rsidRPr="00D46469">
        <w:t xml:space="preserve"> withdraw with one hand what has been committed with the other hand, for example by increasing internal taxation in anticipation of a reduction</w:t>
      </w:r>
      <w:r w:rsidRPr="00303C58">
        <w:t xml:space="preserve"> in import taxes or opening up markets to imports while restricting domestic distribution and thus sales of those imported goods. </w:t>
      </w:r>
    </w:p>
    <w:p w:rsidR="00175037" w:rsidRPr="00303C58" w:rsidRDefault="00175037" w:rsidP="00D46469">
      <w:pPr>
        <w:jc w:val="both"/>
      </w:pPr>
      <w:r w:rsidRPr="00303C58">
        <w:rPr>
          <w:color w:val="000000"/>
          <w:shd w:val="clear" w:color="auto" w:fill="FFFFFF"/>
        </w:rPr>
        <w:t> </w:t>
      </w:r>
    </w:p>
    <w:p w:rsidR="00F371BF" w:rsidRDefault="00175037" w:rsidP="00D46469">
      <w:pPr>
        <w:pStyle w:val="PlainText"/>
        <w:jc w:val="both"/>
        <w:rPr>
          <w:rFonts w:asciiTheme="minorHAnsi" w:hAnsiTheme="minorHAnsi" w:cstheme="minorHAnsi"/>
          <w:sz w:val="24"/>
          <w:szCs w:val="24"/>
        </w:rPr>
      </w:pPr>
      <w:r w:rsidRPr="00303C58">
        <w:rPr>
          <w:rFonts w:asciiTheme="minorHAnsi" w:hAnsiTheme="minorHAnsi" w:cstheme="minorHAnsi"/>
          <w:color w:val="000000"/>
          <w:sz w:val="24"/>
          <w:szCs w:val="24"/>
          <w:shd w:val="clear" w:color="auto" w:fill="FFFFFF"/>
        </w:rPr>
        <w:t xml:space="preserve">In addition to the EU-Vietnam </w:t>
      </w:r>
      <w:proofErr w:type="spellStart"/>
      <w:r w:rsidRPr="00303C58">
        <w:rPr>
          <w:rFonts w:asciiTheme="minorHAnsi" w:hAnsiTheme="minorHAnsi" w:cstheme="minorHAnsi"/>
          <w:color w:val="000000"/>
          <w:sz w:val="24"/>
          <w:szCs w:val="24"/>
          <w:shd w:val="clear" w:color="auto" w:fill="FFFFFF"/>
        </w:rPr>
        <w:t>FTA</w:t>
      </w:r>
      <w:proofErr w:type="spellEnd"/>
      <w:r w:rsidRPr="00303C58">
        <w:rPr>
          <w:rFonts w:asciiTheme="minorHAnsi" w:hAnsiTheme="minorHAnsi" w:cstheme="minorHAnsi"/>
          <w:color w:val="000000"/>
          <w:sz w:val="24"/>
          <w:szCs w:val="24"/>
          <w:shd w:val="clear" w:color="auto" w:fill="FFFFFF"/>
        </w:rPr>
        <w:t>, the</w:t>
      </w:r>
      <w:r w:rsidRPr="00303C58">
        <w:rPr>
          <w:rFonts w:asciiTheme="minorHAnsi" w:hAnsiTheme="minorHAnsi"/>
          <w:sz w:val="24"/>
        </w:rPr>
        <w:t xml:space="preserve"> </w:t>
      </w:r>
      <w:r w:rsidR="00F371BF" w:rsidRPr="00303C58">
        <w:rPr>
          <w:rFonts w:asciiTheme="minorHAnsi" w:hAnsiTheme="minorHAnsi"/>
          <w:sz w:val="24"/>
        </w:rPr>
        <w:t>Investment</w:t>
      </w:r>
      <w:r w:rsidR="00F371BF" w:rsidRPr="008E57D9">
        <w:rPr>
          <w:rFonts w:asciiTheme="minorHAnsi" w:hAnsiTheme="minorHAnsi"/>
          <w:sz w:val="24"/>
        </w:rPr>
        <w:t xml:space="preserve"> and Trade Working </w:t>
      </w:r>
      <w:r w:rsidR="00C37050" w:rsidRPr="008E57D9">
        <w:rPr>
          <w:rFonts w:asciiTheme="minorHAnsi" w:hAnsiTheme="minorHAnsi"/>
          <w:sz w:val="24"/>
        </w:rPr>
        <w:t xml:space="preserve">Group </w:t>
      </w:r>
      <w:r w:rsidR="00F371BF" w:rsidRPr="008E57D9">
        <w:rPr>
          <w:rFonts w:asciiTheme="minorHAnsi" w:hAnsiTheme="minorHAnsi"/>
          <w:sz w:val="24"/>
        </w:rPr>
        <w:t>supports Vietnam's participation in the proposed Comprehensive and Progressive Trans-Pacific Partnership (</w:t>
      </w:r>
      <w:r w:rsidR="00C50F8A" w:rsidRPr="008E57D9">
        <w:rPr>
          <w:rFonts w:asciiTheme="minorHAnsi" w:hAnsiTheme="minorHAnsi"/>
          <w:sz w:val="24"/>
        </w:rPr>
        <w:t>"</w:t>
      </w:r>
      <w:proofErr w:type="spellStart"/>
      <w:r w:rsidR="00F371BF" w:rsidRPr="008E57D9">
        <w:rPr>
          <w:rFonts w:asciiTheme="minorHAnsi" w:hAnsiTheme="minorHAnsi"/>
          <w:sz w:val="24"/>
        </w:rPr>
        <w:t>CPTPP</w:t>
      </w:r>
      <w:proofErr w:type="spellEnd"/>
      <w:r w:rsidR="00F371BF" w:rsidRPr="008E57D9">
        <w:rPr>
          <w:rFonts w:asciiTheme="minorHAnsi" w:hAnsiTheme="minorHAnsi"/>
          <w:sz w:val="24"/>
        </w:rPr>
        <w:t>")</w:t>
      </w:r>
      <w:r w:rsidR="007D4F4A">
        <w:rPr>
          <w:rFonts w:asciiTheme="minorHAnsi" w:hAnsiTheme="minorHAnsi"/>
          <w:sz w:val="24"/>
        </w:rPr>
        <w:t xml:space="preserve"> and several other important pending trade agreements</w:t>
      </w:r>
      <w:r w:rsidR="00F371BF" w:rsidRPr="008E57D9">
        <w:rPr>
          <w:rFonts w:asciiTheme="minorHAnsi" w:hAnsiTheme="minorHAnsi"/>
          <w:sz w:val="24"/>
        </w:rPr>
        <w:t xml:space="preserve">. </w:t>
      </w:r>
      <w:r w:rsidR="007D4F4A">
        <w:rPr>
          <w:rFonts w:asciiTheme="minorHAnsi" w:hAnsiTheme="minorHAnsi"/>
          <w:sz w:val="24"/>
        </w:rPr>
        <w:t xml:space="preserve">For the </w:t>
      </w:r>
      <w:proofErr w:type="spellStart"/>
      <w:r w:rsidR="007D4F4A">
        <w:rPr>
          <w:rFonts w:asciiTheme="minorHAnsi" w:hAnsiTheme="minorHAnsi"/>
          <w:sz w:val="24"/>
        </w:rPr>
        <w:t>CPTPP</w:t>
      </w:r>
      <w:proofErr w:type="spellEnd"/>
      <w:r w:rsidR="007D4F4A">
        <w:rPr>
          <w:rFonts w:asciiTheme="minorHAnsi" w:hAnsiTheme="minorHAnsi"/>
          <w:sz w:val="24"/>
        </w:rPr>
        <w:t xml:space="preserve"> in particular, w</w:t>
      </w:r>
      <w:r w:rsidR="00F371BF" w:rsidRPr="008E57D9">
        <w:rPr>
          <w:rFonts w:asciiTheme="minorHAnsi" w:hAnsiTheme="minorHAnsi"/>
          <w:sz w:val="24"/>
        </w:rPr>
        <w:t xml:space="preserve">e believe that this landmark agreement between </w:t>
      </w:r>
      <w:r w:rsidR="00C37050" w:rsidRPr="008E57D9">
        <w:rPr>
          <w:rFonts w:asciiTheme="minorHAnsi" w:hAnsiTheme="minorHAnsi"/>
          <w:sz w:val="24"/>
        </w:rPr>
        <w:t>11</w:t>
      </w:r>
      <w:r w:rsidR="00F371BF" w:rsidRPr="008E57D9">
        <w:rPr>
          <w:rFonts w:asciiTheme="minorHAnsi" w:hAnsiTheme="minorHAnsi"/>
          <w:sz w:val="24"/>
        </w:rPr>
        <w:t xml:space="preserve"> of the 12 "</w:t>
      </w:r>
      <w:proofErr w:type="spellStart"/>
      <w:r w:rsidR="00F371BF" w:rsidRPr="008E57D9">
        <w:rPr>
          <w:rFonts w:asciiTheme="minorHAnsi" w:hAnsiTheme="minorHAnsi"/>
          <w:sz w:val="24"/>
        </w:rPr>
        <w:t>TPP</w:t>
      </w:r>
      <w:proofErr w:type="spellEnd"/>
      <w:r w:rsidR="00F371BF" w:rsidRPr="008E57D9">
        <w:rPr>
          <w:rFonts w:asciiTheme="minorHAnsi" w:hAnsiTheme="minorHAnsi"/>
          <w:sz w:val="24"/>
        </w:rPr>
        <w:t xml:space="preserve">" countries will create growth, jobs and sustainable economic and social development </w:t>
      </w:r>
      <w:r w:rsidR="00C37050" w:rsidRPr="008E57D9">
        <w:rPr>
          <w:rFonts w:asciiTheme="minorHAnsi" w:hAnsiTheme="minorHAnsi"/>
          <w:sz w:val="24"/>
        </w:rPr>
        <w:t>r</w:t>
      </w:r>
      <w:r w:rsidR="00F371BF" w:rsidRPr="008E57D9">
        <w:rPr>
          <w:rFonts w:asciiTheme="minorHAnsi" w:hAnsiTheme="minorHAnsi"/>
          <w:sz w:val="24"/>
        </w:rPr>
        <w:t>ight through the region.</w:t>
      </w:r>
      <w:r w:rsidR="00F371BF">
        <w:rPr>
          <w:rFonts w:asciiTheme="minorHAnsi" w:hAnsiTheme="minorHAnsi" w:cstheme="minorHAnsi"/>
          <w:sz w:val="24"/>
          <w:szCs w:val="24"/>
        </w:rPr>
        <w:t xml:space="preserve"> Last June, we</w:t>
      </w:r>
      <w:r w:rsidR="00F371BF" w:rsidRPr="008E57D9">
        <w:rPr>
          <w:rFonts w:asciiTheme="minorHAnsi" w:hAnsiTheme="minorHAnsi"/>
          <w:sz w:val="24"/>
        </w:rPr>
        <w:t xml:space="preserve"> encouraged the Vietname</w:t>
      </w:r>
      <w:r w:rsidR="00DD0273" w:rsidRPr="008E57D9">
        <w:rPr>
          <w:rFonts w:asciiTheme="minorHAnsi" w:hAnsiTheme="minorHAnsi"/>
          <w:sz w:val="24"/>
        </w:rPr>
        <w:t>se government to push forward with a number of o</w:t>
      </w:r>
      <w:r w:rsidR="00463D83" w:rsidRPr="008E57D9">
        <w:rPr>
          <w:rFonts w:asciiTheme="minorHAnsi" w:hAnsiTheme="minorHAnsi"/>
          <w:sz w:val="24"/>
        </w:rPr>
        <w:t>th</w:t>
      </w:r>
      <w:r w:rsidR="00DD0273" w:rsidRPr="008E57D9">
        <w:rPr>
          <w:rFonts w:asciiTheme="minorHAnsi" w:hAnsiTheme="minorHAnsi"/>
          <w:sz w:val="24"/>
        </w:rPr>
        <w:t>er important trade pacts</w:t>
      </w:r>
      <w:r w:rsidR="00DD0273">
        <w:rPr>
          <w:rFonts w:asciiTheme="minorHAnsi" w:hAnsiTheme="minorHAnsi" w:cstheme="minorHAnsi"/>
          <w:sz w:val="24"/>
          <w:szCs w:val="24"/>
        </w:rPr>
        <w:t>, including the E</w:t>
      </w:r>
      <w:r w:rsidR="00C50F8A">
        <w:rPr>
          <w:rFonts w:asciiTheme="minorHAnsi" w:hAnsiTheme="minorHAnsi" w:cstheme="minorHAnsi"/>
          <w:sz w:val="24"/>
          <w:szCs w:val="24"/>
        </w:rPr>
        <w:t>U</w:t>
      </w:r>
      <w:r w:rsidR="00DD0273">
        <w:rPr>
          <w:rFonts w:asciiTheme="minorHAnsi" w:hAnsiTheme="minorHAnsi" w:cstheme="minorHAnsi"/>
          <w:sz w:val="24"/>
          <w:szCs w:val="24"/>
        </w:rPr>
        <w:t xml:space="preserve">-Vietnam </w:t>
      </w:r>
      <w:proofErr w:type="spellStart"/>
      <w:r w:rsidR="00DD0273">
        <w:rPr>
          <w:rFonts w:asciiTheme="minorHAnsi" w:hAnsiTheme="minorHAnsi" w:cstheme="minorHAnsi"/>
          <w:sz w:val="24"/>
          <w:szCs w:val="24"/>
        </w:rPr>
        <w:t>FTA</w:t>
      </w:r>
      <w:proofErr w:type="spellEnd"/>
      <w:r w:rsidR="007F7F5E">
        <w:rPr>
          <w:rFonts w:asciiTheme="minorHAnsi" w:hAnsiTheme="minorHAnsi" w:cstheme="minorHAnsi"/>
          <w:sz w:val="24"/>
          <w:szCs w:val="24"/>
        </w:rPr>
        <w:t>,</w:t>
      </w:r>
      <w:r w:rsidR="00DD0273" w:rsidRPr="008E57D9">
        <w:rPr>
          <w:rFonts w:asciiTheme="minorHAnsi" w:hAnsiTheme="minorHAnsi"/>
          <w:sz w:val="24"/>
        </w:rPr>
        <w:t xml:space="preserve"> </w:t>
      </w:r>
      <w:r w:rsidR="007F7F5E" w:rsidRPr="008E57D9">
        <w:rPr>
          <w:rFonts w:asciiTheme="minorHAnsi" w:hAnsiTheme="minorHAnsi"/>
          <w:sz w:val="24"/>
        </w:rPr>
        <w:t>t</w:t>
      </w:r>
      <w:r w:rsidR="00DD0273" w:rsidRPr="008E57D9">
        <w:rPr>
          <w:rFonts w:asciiTheme="minorHAnsi" w:hAnsiTheme="minorHAnsi"/>
          <w:sz w:val="24"/>
        </w:rPr>
        <w:t xml:space="preserve">he Regional Comprehensive </w:t>
      </w:r>
      <w:r w:rsidR="007F7F5E" w:rsidRPr="008E57D9">
        <w:rPr>
          <w:rFonts w:asciiTheme="minorHAnsi" w:hAnsiTheme="minorHAnsi"/>
          <w:sz w:val="24"/>
        </w:rPr>
        <w:t>Economic Partnership</w:t>
      </w:r>
      <w:r w:rsidR="00DD0273" w:rsidRPr="008E57D9">
        <w:rPr>
          <w:rFonts w:asciiTheme="minorHAnsi" w:hAnsiTheme="minorHAnsi"/>
          <w:sz w:val="24"/>
        </w:rPr>
        <w:t xml:space="preserve"> and o</w:t>
      </w:r>
      <w:r w:rsidR="008930F4" w:rsidRPr="008E57D9">
        <w:rPr>
          <w:rFonts w:asciiTheme="minorHAnsi" w:hAnsiTheme="minorHAnsi"/>
          <w:sz w:val="24"/>
        </w:rPr>
        <w:t>th</w:t>
      </w:r>
      <w:r w:rsidR="00DD0273" w:rsidRPr="008E57D9">
        <w:rPr>
          <w:rFonts w:asciiTheme="minorHAnsi" w:hAnsiTheme="minorHAnsi"/>
          <w:sz w:val="24"/>
        </w:rPr>
        <w:t>er</w:t>
      </w:r>
      <w:r w:rsidR="00C50F8A" w:rsidRPr="008E57D9">
        <w:rPr>
          <w:rFonts w:asciiTheme="minorHAnsi" w:hAnsiTheme="minorHAnsi"/>
          <w:sz w:val="24"/>
        </w:rPr>
        <w:t xml:space="preserve"> important agreements</w:t>
      </w:r>
      <w:r w:rsidR="00DD0273" w:rsidRPr="008E57D9">
        <w:rPr>
          <w:rFonts w:asciiTheme="minorHAnsi" w:hAnsiTheme="minorHAnsi"/>
          <w:sz w:val="24"/>
        </w:rPr>
        <w:t>. Our position on these agreements has not changed. Each offers opportunities</w:t>
      </w:r>
      <w:r w:rsidR="00C50F8A" w:rsidRPr="008E57D9">
        <w:rPr>
          <w:rFonts w:asciiTheme="minorHAnsi" w:hAnsiTheme="minorHAnsi"/>
          <w:sz w:val="24"/>
        </w:rPr>
        <w:t>,</w:t>
      </w:r>
      <w:r w:rsidR="00DD0273" w:rsidRPr="008E57D9">
        <w:rPr>
          <w:rFonts w:asciiTheme="minorHAnsi" w:hAnsiTheme="minorHAnsi"/>
          <w:sz w:val="24"/>
        </w:rPr>
        <w:t xml:space="preserve"> and together they offer eve</w:t>
      </w:r>
      <w:r w:rsidR="00C50F8A" w:rsidRPr="008E57D9">
        <w:rPr>
          <w:rFonts w:asciiTheme="minorHAnsi" w:hAnsiTheme="minorHAnsi"/>
          <w:sz w:val="24"/>
        </w:rPr>
        <w:t>n</w:t>
      </w:r>
      <w:r w:rsidR="00DD0273" w:rsidRPr="008E57D9">
        <w:rPr>
          <w:rFonts w:asciiTheme="minorHAnsi" w:hAnsiTheme="minorHAnsi"/>
          <w:sz w:val="24"/>
        </w:rPr>
        <w:t xml:space="preserve"> greater opportunities</w:t>
      </w:r>
      <w:r w:rsidR="00DD0273">
        <w:rPr>
          <w:rFonts w:asciiTheme="minorHAnsi" w:hAnsiTheme="minorHAnsi" w:cstheme="minorHAnsi"/>
          <w:sz w:val="24"/>
          <w:szCs w:val="24"/>
        </w:rPr>
        <w:t>.</w:t>
      </w:r>
    </w:p>
    <w:p w:rsidR="00303C58" w:rsidRPr="008E57D9" w:rsidRDefault="00303C58" w:rsidP="00D46469">
      <w:pPr>
        <w:pStyle w:val="PlainText"/>
        <w:jc w:val="both"/>
        <w:rPr>
          <w:rFonts w:asciiTheme="minorHAnsi" w:hAnsiTheme="minorHAnsi"/>
        </w:rPr>
      </w:pPr>
    </w:p>
    <w:p w:rsidR="00A864BC" w:rsidRPr="003006D1" w:rsidRDefault="00A864BC" w:rsidP="00D46469">
      <w:pPr>
        <w:pStyle w:val="Heading1"/>
        <w:spacing w:after="0" w:line="240" w:lineRule="auto"/>
        <w:rPr>
          <w:rFonts w:asciiTheme="minorHAnsi" w:hAnsiTheme="minorHAnsi" w:cstheme="minorHAnsi"/>
        </w:rPr>
      </w:pPr>
      <w:r w:rsidRPr="003006D1">
        <w:rPr>
          <w:rFonts w:asciiTheme="minorHAnsi" w:hAnsiTheme="minorHAnsi" w:cstheme="minorHAnsi"/>
        </w:rPr>
        <w:t xml:space="preserve">Other </w:t>
      </w:r>
      <w:r w:rsidR="003B4B3B" w:rsidRPr="003006D1">
        <w:rPr>
          <w:rFonts w:asciiTheme="minorHAnsi" w:hAnsiTheme="minorHAnsi" w:cstheme="minorHAnsi"/>
        </w:rPr>
        <w:t xml:space="preserve">Supply Chain Obstacles and the </w:t>
      </w:r>
      <w:r w:rsidRPr="003006D1">
        <w:rPr>
          <w:rFonts w:asciiTheme="minorHAnsi" w:hAnsiTheme="minorHAnsi" w:cstheme="minorHAnsi"/>
        </w:rPr>
        <w:t>Implementation of Resolution 35</w:t>
      </w:r>
      <w:r w:rsidR="00137971" w:rsidRPr="003006D1">
        <w:rPr>
          <w:rFonts w:asciiTheme="minorHAnsi" w:hAnsiTheme="minorHAnsi" w:cstheme="minorHAnsi"/>
        </w:rPr>
        <w:br/>
      </w:r>
    </w:p>
    <w:p w:rsidR="00E766BA" w:rsidRPr="003006D1" w:rsidRDefault="00A864BC" w:rsidP="00D46469">
      <w:pPr>
        <w:pStyle w:val="Heading2"/>
        <w:spacing w:after="0" w:line="240" w:lineRule="auto"/>
        <w:ind w:left="0" w:hanging="36"/>
        <w:rPr>
          <w:rFonts w:asciiTheme="minorHAnsi" w:hAnsiTheme="minorHAnsi" w:cstheme="minorHAnsi"/>
        </w:rPr>
      </w:pPr>
      <w:r w:rsidRPr="003006D1">
        <w:rPr>
          <w:rFonts w:asciiTheme="minorHAnsi" w:hAnsiTheme="minorHAnsi" w:cstheme="minorHAnsi"/>
        </w:rPr>
        <w:t>Supply Chain Obstacles</w:t>
      </w:r>
      <w:r w:rsidR="003006D1" w:rsidRPr="003006D1">
        <w:rPr>
          <w:rFonts w:asciiTheme="minorHAnsi" w:hAnsiTheme="minorHAnsi" w:cstheme="minorHAnsi"/>
        </w:rPr>
        <w:br/>
      </w:r>
    </w:p>
    <w:p w:rsidR="00B03613" w:rsidRDefault="00A864BC" w:rsidP="00D46469">
      <w:pPr>
        <w:pStyle w:val="Heading3"/>
        <w:spacing w:after="0" w:line="240" w:lineRule="auto"/>
        <w:ind w:left="720"/>
        <w:jc w:val="both"/>
        <w:rPr>
          <w:rFonts w:asciiTheme="minorHAnsi" w:hAnsiTheme="minorHAnsi" w:cstheme="minorHAnsi"/>
        </w:rPr>
      </w:pPr>
      <w:r w:rsidRPr="003006D1">
        <w:rPr>
          <w:rFonts w:asciiTheme="minorHAnsi" w:hAnsiTheme="minorHAnsi" w:cstheme="minorHAnsi"/>
        </w:rPr>
        <w:t>Decree 23</w:t>
      </w:r>
      <w:r w:rsidR="00E766BA" w:rsidRPr="003006D1">
        <w:rPr>
          <w:rFonts w:asciiTheme="minorHAnsi" w:hAnsiTheme="minorHAnsi" w:cstheme="minorHAnsi"/>
        </w:rPr>
        <w:t xml:space="preserve"> - "Trading License"</w:t>
      </w:r>
    </w:p>
    <w:p w:rsidR="00303C58" w:rsidRDefault="00303C58" w:rsidP="00D46469">
      <w:pPr>
        <w:pStyle w:val="Heading5"/>
        <w:numPr>
          <w:ilvl w:val="0"/>
          <w:numId w:val="0"/>
        </w:numPr>
        <w:spacing w:after="0" w:line="240" w:lineRule="auto"/>
        <w:ind w:left="1008"/>
        <w:jc w:val="both"/>
        <w:rPr>
          <w:b/>
        </w:rPr>
      </w:pPr>
    </w:p>
    <w:p w:rsidR="00C50F8A" w:rsidRDefault="00B03613" w:rsidP="00D46469">
      <w:pPr>
        <w:pStyle w:val="Heading5"/>
        <w:numPr>
          <w:ilvl w:val="0"/>
          <w:numId w:val="0"/>
        </w:numPr>
        <w:spacing w:after="0" w:line="240" w:lineRule="auto"/>
        <w:ind w:left="1008" w:hanging="1008"/>
        <w:jc w:val="both"/>
      </w:pPr>
      <w:r w:rsidRPr="00DD079F">
        <w:rPr>
          <w:b/>
        </w:rPr>
        <w:t>Issues</w:t>
      </w:r>
      <w:r>
        <w:t>:</w:t>
      </w:r>
      <w:r w:rsidR="00303C58">
        <w:t xml:space="preserve"> </w:t>
      </w:r>
      <w:r w:rsidR="00C50F8A">
        <w:t>Some is</w:t>
      </w:r>
      <w:r w:rsidR="00303C58">
        <w:t>sues remain from our last Forum:</w:t>
      </w:r>
    </w:p>
    <w:p w:rsidR="00303C58" w:rsidRDefault="00303C58" w:rsidP="00D46469">
      <w:pPr>
        <w:pStyle w:val="Heading3"/>
        <w:numPr>
          <w:ilvl w:val="0"/>
          <w:numId w:val="0"/>
        </w:numPr>
        <w:spacing w:after="0" w:line="240" w:lineRule="auto"/>
        <w:jc w:val="both"/>
        <w:rPr>
          <w:rFonts w:asciiTheme="minorHAnsi" w:hAnsiTheme="minorHAnsi" w:cstheme="minorHAnsi"/>
        </w:rPr>
      </w:pPr>
    </w:p>
    <w:p w:rsidR="00E766BA" w:rsidRDefault="00F1726A" w:rsidP="00D46469">
      <w:pPr>
        <w:pStyle w:val="Heading3"/>
        <w:numPr>
          <w:ilvl w:val="0"/>
          <w:numId w:val="0"/>
        </w:numPr>
        <w:spacing w:after="0" w:line="240" w:lineRule="auto"/>
        <w:jc w:val="both"/>
        <w:rPr>
          <w:rFonts w:asciiTheme="minorHAnsi" w:hAnsiTheme="minorHAnsi" w:cstheme="minorHAnsi"/>
        </w:rPr>
      </w:pPr>
      <w:r w:rsidRPr="003006D1">
        <w:rPr>
          <w:rFonts w:asciiTheme="minorHAnsi" w:hAnsiTheme="minorHAnsi" w:cstheme="minorHAnsi"/>
        </w:rPr>
        <w:t>The Decree 23 requires a “trading license” for foreign invested enterprises engaged in import and distribution of any kind of product.  This is in addition to the existing approvals included in their Investment Registration Certificates (“IRC”) and Enterprise Registration Certificates (“</w:t>
      </w:r>
      <w:proofErr w:type="spellStart"/>
      <w:r w:rsidRPr="003006D1">
        <w:rPr>
          <w:rFonts w:asciiTheme="minorHAnsi" w:hAnsiTheme="minorHAnsi" w:cstheme="minorHAnsi"/>
        </w:rPr>
        <w:t>ERC</w:t>
      </w:r>
      <w:proofErr w:type="spellEnd"/>
      <w:r w:rsidRPr="003006D1">
        <w:rPr>
          <w:rFonts w:asciiTheme="minorHAnsi" w:hAnsiTheme="minorHAnsi" w:cstheme="minorHAnsi"/>
        </w:rPr>
        <w:t>”), as well as any product specific special condition imposed for purposes of safety, human health or the environment. This requirement for a trading license is not timely response f</w:t>
      </w:r>
      <w:r w:rsidR="00AD06DA">
        <w:rPr>
          <w:rFonts w:asciiTheme="minorHAnsi" w:hAnsiTheme="minorHAnsi" w:cstheme="minorHAnsi"/>
        </w:rPr>
        <w:t>r</w:t>
      </w:r>
      <w:r w:rsidRPr="003006D1">
        <w:rPr>
          <w:rFonts w:asciiTheme="minorHAnsi" w:hAnsiTheme="minorHAnsi" w:cstheme="minorHAnsi"/>
        </w:rPr>
        <w:t>o</w:t>
      </w:r>
      <w:r w:rsidR="00AD06DA">
        <w:rPr>
          <w:rFonts w:asciiTheme="minorHAnsi" w:hAnsiTheme="minorHAnsi" w:cstheme="minorHAnsi"/>
        </w:rPr>
        <w:t>m the</w:t>
      </w:r>
      <w:r w:rsidRPr="003006D1">
        <w:rPr>
          <w:rFonts w:asciiTheme="minorHAnsi" w:hAnsiTheme="minorHAnsi" w:cstheme="minorHAnsi"/>
        </w:rPr>
        <w:t xml:space="preserve"> government, the criteria for issuance are opaque and it should be done away with as a nontariff barrier.  </w:t>
      </w:r>
    </w:p>
    <w:p w:rsidR="00303C58" w:rsidRDefault="00303C58" w:rsidP="00D46469">
      <w:pPr>
        <w:pStyle w:val="Heading3"/>
        <w:numPr>
          <w:ilvl w:val="0"/>
          <w:numId w:val="0"/>
        </w:numPr>
        <w:spacing w:after="0" w:line="240" w:lineRule="auto"/>
        <w:ind w:left="1710"/>
        <w:jc w:val="both"/>
        <w:rPr>
          <w:rFonts w:asciiTheme="minorHAnsi" w:hAnsiTheme="minorHAnsi" w:cstheme="minorHAnsi"/>
        </w:rPr>
      </w:pPr>
    </w:p>
    <w:p w:rsidR="005E2DAA" w:rsidRPr="003006D1" w:rsidRDefault="00AD06DA" w:rsidP="00D46469">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In particular, t</w:t>
      </w:r>
      <w:r w:rsidR="005E2DAA">
        <w:rPr>
          <w:rFonts w:asciiTheme="minorHAnsi" w:hAnsiTheme="minorHAnsi" w:cstheme="minorHAnsi"/>
        </w:rPr>
        <w:t xml:space="preserve">he </w:t>
      </w:r>
      <w:proofErr w:type="spellStart"/>
      <w:r w:rsidR="005E2DAA">
        <w:rPr>
          <w:rFonts w:asciiTheme="minorHAnsi" w:hAnsiTheme="minorHAnsi" w:cstheme="minorHAnsi"/>
        </w:rPr>
        <w:t>MOIT</w:t>
      </w:r>
      <w:proofErr w:type="spellEnd"/>
      <w:r w:rsidR="005E2DAA">
        <w:rPr>
          <w:rFonts w:asciiTheme="minorHAnsi" w:hAnsiTheme="minorHAnsi" w:cstheme="minorHAnsi"/>
        </w:rPr>
        <w:t xml:space="preserve"> is not required to follow specific timeline for review and issuance of </w:t>
      </w:r>
      <w:r>
        <w:rPr>
          <w:rFonts w:asciiTheme="minorHAnsi" w:hAnsiTheme="minorHAnsi" w:cstheme="minorHAnsi"/>
        </w:rPr>
        <w:t>the t</w:t>
      </w:r>
      <w:r w:rsidR="005E2DAA">
        <w:rPr>
          <w:rFonts w:asciiTheme="minorHAnsi" w:hAnsiTheme="minorHAnsi" w:cstheme="minorHAnsi"/>
        </w:rPr>
        <w:t xml:space="preserve">rading license and in practice, the </w:t>
      </w:r>
      <w:proofErr w:type="spellStart"/>
      <w:r w:rsidR="005E2DAA">
        <w:rPr>
          <w:rFonts w:asciiTheme="minorHAnsi" w:hAnsiTheme="minorHAnsi" w:cstheme="minorHAnsi"/>
        </w:rPr>
        <w:t>MOIT</w:t>
      </w:r>
      <w:proofErr w:type="spellEnd"/>
      <w:r w:rsidR="005E2DAA">
        <w:rPr>
          <w:rFonts w:asciiTheme="minorHAnsi" w:hAnsiTheme="minorHAnsi" w:cstheme="minorHAnsi"/>
        </w:rPr>
        <w:t xml:space="preserve"> can</w:t>
      </w:r>
      <w:r>
        <w:rPr>
          <w:rFonts w:asciiTheme="minorHAnsi" w:hAnsiTheme="minorHAnsi" w:cstheme="minorHAnsi"/>
        </w:rPr>
        <w:t xml:space="preserve"> take</w:t>
      </w:r>
      <w:r w:rsidR="005E2DAA">
        <w:rPr>
          <w:rFonts w:asciiTheme="minorHAnsi" w:hAnsiTheme="minorHAnsi" w:cstheme="minorHAnsi"/>
        </w:rPr>
        <w:t xml:space="preserve"> several months</w:t>
      </w:r>
      <w:r>
        <w:rPr>
          <w:rFonts w:asciiTheme="minorHAnsi" w:hAnsiTheme="minorHAnsi" w:cstheme="minorHAnsi"/>
        </w:rPr>
        <w:t>, on average 3-4 months,</w:t>
      </w:r>
      <w:r w:rsidR="005E2DAA">
        <w:rPr>
          <w:rFonts w:asciiTheme="minorHAnsi" w:hAnsiTheme="minorHAnsi" w:cstheme="minorHAnsi"/>
        </w:rPr>
        <w:t xml:space="preserve"> for this review process.</w:t>
      </w:r>
    </w:p>
    <w:p w:rsidR="00303C58" w:rsidRDefault="00303C58" w:rsidP="00D46469">
      <w:pPr>
        <w:pStyle w:val="Heading3"/>
        <w:numPr>
          <w:ilvl w:val="0"/>
          <w:numId w:val="0"/>
        </w:numPr>
        <w:spacing w:after="0" w:line="240" w:lineRule="auto"/>
        <w:jc w:val="both"/>
        <w:rPr>
          <w:rFonts w:asciiTheme="minorHAnsi" w:hAnsiTheme="minorHAnsi" w:cstheme="minorHAnsi"/>
        </w:rPr>
      </w:pPr>
    </w:p>
    <w:p w:rsidR="00E766BA" w:rsidRPr="003006D1" w:rsidRDefault="00B03613" w:rsidP="00D46469">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The draft Decree to replace Decree 23 further proposes to impose t</w:t>
      </w:r>
      <w:r w:rsidR="00E766BA" w:rsidRPr="003006D1">
        <w:rPr>
          <w:rFonts w:asciiTheme="minorHAnsi" w:hAnsiTheme="minorHAnsi" w:cstheme="minorHAnsi"/>
        </w:rPr>
        <w:t xml:space="preserve">his requirement </w:t>
      </w:r>
      <w:r>
        <w:rPr>
          <w:rFonts w:asciiTheme="minorHAnsi" w:hAnsiTheme="minorHAnsi" w:cstheme="minorHAnsi"/>
        </w:rPr>
        <w:t xml:space="preserve">on </w:t>
      </w:r>
      <w:r w:rsidR="00E766BA" w:rsidRPr="003006D1">
        <w:rPr>
          <w:rFonts w:asciiTheme="minorHAnsi" w:hAnsiTheme="minorHAnsi" w:cstheme="minorHAnsi"/>
        </w:rPr>
        <w:t>the following areas of business activity, among others:</w:t>
      </w:r>
    </w:p>
    <w:p w:rsidR="00E766BA" w:rsidRPr="003006D1" w:rsidRDefault="00E766BA" w:rsidP="00922C71">
      <w:pPr>
        <w:pStyle w:val="Heading3"/>
        <w:numPr>
          <w:ilvl w:val="1"/>
          <w:numId w:val="34"/>
        </w:numPr>
        <w:spacing w:after="0" w:line="240" w:lineRule="auto"/>
        <w:jc w:val="both"/>
        <w:rPr>
          <w:rFonts w:asciiTheme="minorHAnsi" w:hAnsiTheme="minorHAnsi" w:cstheme="minorHAnsi"/>
        </w:rPr>
      </w:pPr>
      <w:r w:rsidRPr="003006D1">
        <w:rPr>
          <w:rFonts w:asciiTheme="minorHAnsi" w:hAnsiTheme="minorHAnsi" w:cstheme="minorHAnsi"/>
        </w:rPr>
        <w:t>Commercial promotion services;</w:t>
      </w:r>
    </w:p>
    <w:p w:rsidR="00E766BA" w:rsidRPr="003006D1" w:rsidRDefault="00E766BA" w:rsidP="00922C71">
      <w:pPr>
        <w:pStyle w:val="Heading3"/>
        <w:numPr>
          <w:ilvl w:val="1"/>
          <w:numId w:val="34"/>
        </w:numPr>
        <w:spacing w:after="0" w:line="240" w:lineRule="auto"/>
        <w:jc w:val="both"/>
        <w:rPr>
          <w:rFonts w:asciiTheme="minorHAnsi" w:hAnsiTheme="minorHAnsi" w:cstheme="minorHAnsi"/>
        </w:rPr>
      </w:pPr>
      <w:r w:rsidRPr="003006D1">
        <w:rPr>
          <w:rFonts w:asciiTheme="minorHAnsi" w:hAnsiTheme="minorHAnsi" w:cstheme="minorHAnsi"/>
        </w:rPr>
        <w:t>Commercial brokerage services;</w:t>
      </w:r>
    </w:p>
    <w:p w:rsidR="00E766BA" w:rsidRPr="003006D1" w:rsidRDefault="00E766BA" w:rsidP="00922C71">
      <w:pPr>
        <w:pStyle w:val="Heading3"/>
        <w:numPr>
          <w:ilvl w:val="1"/>
          <w:numId w:val="34"/>
        </w:numPr>
        <w:spacing w:after="0" w:line="240" w:lineRule="auto"/>
        <w:jc w:val="both"/>
        <w:rPr>
          <w:rFonts w:asciiTheme="minorHAnsi" w:hAnsiTheme="minorHAnsi" w:cstheme="minorHAnsi"/>
        </w:rPr>
      </w:pPr>
      <w:r w:rsidRPr="003006D1">
        <w:rPr>
          <w:rFonts w:asciiTheme="minorHAnsi" w:hAnsiTheme="minorHAnsi" w:cstheme="minorHAnsi"/>
        </w:rPr>
        <w:t>Leasing goods service;</w:t>
      </w:r>
    </w:p>
    <w:p w:rsidR="00E766BA" w:rsidRPr="003006D1" w:rsidRDefault="00E766BA" w:rsidP="00922C71">
      <w:pPr>
        <w:pStyle w:val="Heading3"/>
        <w:numPr>
          <w:ilvl w:val="1"/>
          <w:numId w:val="34"/>
        </w:numPr>
        <w:spacing w:after="0" w:line="240" w:lineRule="auto"/>
        <w:jc w:val="both"/>
        <w:rPr>
          <w:rFonts w:asciiTheme="minorHAnsi" w:hAnsiTheme="minorHAnsi" w:cstheme="minorHAnsi"/>
        </w:rPr>
      </w:pPr>
      <w:r w:rsidRPr="003006D1">
        <w:rPr>
          <w:rFonts w:asciiTheme="minorHAnsi" w:hAnsiTheme="minorHAnsi" w:cstheme="minorHAnsi"/>
        </w:rPr>
        <w:t>E-commerce service;</w:t>
      </w:r>
    </w:p>
    <w:p w:rsidR="00E766BA" w:rsidRPr="003006D1" w:rsidRDefault="00E766BA" w:rsidP="00922C71">
      <w:pPr>
        <w:pStyle w:val="Heading3"/>
        <w:numPr>
          <w:ilvl w:val="1"/>
          <w:numId w:val="34"/>
        </w:numPr>
        <w:spacing w:after="0" w:line="240" w:lineRule="auto"/>
        <w:jc w:val="both"/>
        <w:rPr>
          <w:rFonts w:asciiTheme="minorHAnsi" w:hAnsiTheme="minorHAnsi" w:cstheme="minorHAnsi"/>
        </w:rPr>
      </w:pPr>
      <w:r w:rsidRPr="003006D1">
        <w:rPr>
          <w:rFonts w:asciiTheme="minorHAnsi" w:hAnsiTheme="minorHAnsi" w:cstheme="minorHAnsi"/>
        </w:rPr>
        <w:t>Logistic service;</w:t>
      </w:r>
    </w:p>
    <w:p w:rsidR="00E766BA" w:rsidRPr="003006D1" w:rsidRDefault="00E766BA" w:rsidP="00922C71">
      <w:pPr>
        <w:pStyle w:val="Heading3"/>
        <w:numPr>
          <w:ilvl w:val="1"/>
          <w:numId w:val="34"/>
        </w:numPr>
        <w:spacing w:after="0" w:line="240" w:lineRule="auto"/>
        <w:jc w:val="both"/>
        <w:rPr>
          <w:rFonts w:asciiTheme="minorHAnsi" w:hAnsiTheme="minorHAnsi" w:cstheme="minorHAnsi"/>
        </w:rPr>
      </w:pPr>
      <w:r w:rsidRPr="003006D1">
        <w:rPr>
          <w:rFonts w:asciiTheme="minorHAnsi" w:hAnsiTheme="minorHAnsi" w:cstheme="minorHAnsi"/>
        </w:rPr>
        <w:t>Inspection service;</w:t>
      </w:r>
    </w:p>
    <w:p w:rsidR="00E766BA" w:rsidRPr="003006D1" w:rsidRDefault="00E766BA" w:rsidP="00922C71">
      <w:pPr>
        <w:pStyle w:val="Heading3"/>
        <w:numPr>
          <w:ilvl w:val="1"/>
          <w:numId w:val="34"/>
        </w:numPr>
        <w:spacing w:after="0" w:line="240" w:lineRule="auto"/>
        <w:jc w:val="both"/>
        <w:rPr>
          <w:rFonts w:asciiTheme="minorHAnsi" w:hAnsiTheme="minorHAnsi" w:cstheme="minorHAnsi"/>
        </w:rPr>
      </w:pPr>
      <w:r w:rsidRPr="003006D1">
        <w:rPr>
          <w:rFonts w:asciiTheme="minorHAnsi" w:hAnsiTheme="minorHAnsi" w:cstheme="minorHAnsi"/>
        </w:rPr>
        <w:t>Market research service;</w:t>
      </w:r>
    </w:p>
    <w:p w:rsidR="00E766BA" w:rsidRPr="003006D1" w:rsidRDefault="00E766BA" w:rsidP="00922C71">
      <w:pPr>
        <w:pStyle w:val="Heading3"/>
        <w:numPr>
          <w:ilvl w:val="1"/>
          <w:numId w:val="34"/>
        </w:numPr>
        <w:spacing w:after="0" w:line="240" w:lineRule="auto"/>
        <w:jc w:val="both"/>
        <w:rPr>
          <w:rFonts w:asciiTheme="minorHAnsi" w:hAnsiTheme="minorHAnsi" w:cstheme="minorHAnsi"/>
        </w:rPr>
      </w:pPr>
      <w:r w:rsidRPr="003006D1">
        <w:rPr>
          <w:rFonts w:asciiTheme="minorHAnsi" w:hAnsiTheme="minorHAnsi" w:cstheme="minorHAnsi"/>
        </w:rPr>
        <w:t>Management consulting service;</w:t>
      </w:r>
    </w:p>
    <w:p w:rsidR="00E766BA" w:rsidRPr="003006D1" w:rsidRDefault="00E766BA" w:rsidP="00922C71">
      <w:pPr>
        <w:pStyle w:val="Heading3"/>
        <w:numPr>
          <w:ilvl w:val="1"/>
          <w:numId w:val="34"/>
        </w:numPr>
        <w:spacing w:after="0" w:line="240" w:lineRule="auto"/>
        <w:jc w:val="both"/>
        <w:rPr>
          <w:rFonts w:asciiTheme="minorHAnsi" w:hAnsiTheme="minorHAnsi" w:cstheme="minorHAnsi"/>
        </w:rPr>
      </w:pPr>
      <w:r w:rsidRPr="003006D1">
        <w:rPr>
          <w:rFonts w:asciiTheme="minorHAnsi" w:hAnsiTheme="minorHAnsi" w:cstheme="minorHAnsi"/>
        </w:rPr>
        <w:t>Service related to production;</w:t>
      </w:r>
    </w:p>
    <w:p w:rsidR="00E766BA" w:rsidRPr="003006D1" w:rsidRDefault="00E766BA" w:rsidP="00922C71">
      <w:pPr>
        <w:pStyle w:val="Heading3"/>
        <w:numPr>
          <w:ilvl w:val="1"/>
          <w:numId w:val="34"/>
        </w:numPr>
        <w:spacing w:after="0" w:line="240" w:lineRule="auto"/>
        <w:jc w:val="both"/>
        <w:rPr>
          <w:rFonts w:asciiTheme="minorHAnsi" w:hAnsiTheme="minorHAnsi" w:cstheme="minorHAnsi"/>
        </w:rPr>
      </w:pPr>
      <w:r w:rsidRPr="003006D1">
        <w:rPr>
          <w:rFonts w:asciiTheme="minorHAnsi" w:hAnsiTheme="minorHAnsi" w:cstheme="minorHAnsi"/>
        </w:rPr>
        <w:t>Auction service;</w:t>
      </w:r>
    </w:p>
    <w:p w:rsidR="00E766BA" w:rsidRPr="003006D1" w:rsidRDefault="00E766BA" w:rsidP="00922C71">
      <w:pPr>
        <w:pStyle w:val="Heading3"/>
        <w:numPr>
          <w:ilvl w:val="1"/>
          <w:numId w:val="34"/>
        </w:numPr>
        <w:spacing w:after="0" w:line="240" w:lineRule="auto"/>
        <w:jc w:val="both"/>
        <w:rPr>
          <w:rFonts w:asciiTheme="minorHAnsi" w:hAnsiTheme="minorHAnsi" w:cstheme="minorHAnsi"/>
        </w:rPr>
      </w:pPr>
      <w:r w:rsidRPr="003006D1">
        <w:rPr>
          <w:rFonts w:asciiTheme="minorHAnsi" w:hAnsiTheme="minorHAnsi" w:cstheme="minorHAnsi"/>
        </w:rPr>
        <w:t>Tendering service;</w:t>
      </w:r>
    </w:p>
    <w:p w:rsidR="00E766BA" w:rsidRPr="003006D1" w:rsidRDefault="00E766BA" w:rsidP="00922C71">
      <w:pPr>
        <w:pStyle w:val="Heading3"/>
        <w:numPr>
          <w:ilvl w:val="1"/>
          <w:numId w:val="34"/>
        </w:numPr>
        <w:spacing w:after="0" w:line="240" w:lineRule="auto"/>
        <w:jc w:val="both"/>
        <w:rPr>
          <w:rFonts w:asciiTheme="minorHAnsi" w:hAnsiTheme="minorHAnsi" w:cstheme="minorHAnsi"/>
        </w:rPr>
      </w:pPr>
      <w:r w:rsidRPr="003006D1">
        <w:rPr>
          <w:rFonts w:asciiTheme="minorHAnsi" w:hAnsiTheme="minorHAnsi" w:cstheme="minorHAnsi"/>
        </w:rPr>
        <w:t>Commodity exchange, or member of a Commodity exchange; and</w:t>
      </w:r>
    </w:p>
    <w:p w:rsidR="00E766BA" w:rsidRPr="00D46469" w:rsidRDefault="00E766BA" w:rsidP="00922C71">
      <w:pPr>
        <w:pStyle w:val="Heading3"/>
        <w:numPr>
          <w:ilvl w:val="1"/>
          <w:numId w:val="34"/>
        </w:numPr>
        <w:spacing w:after="0" w:line="240" w:lineRule="auto"/>
        <w:jc w:val="both"/>
        <w:rPr>
          <w:rFonts w:asciiTheme="minorHAnsi" w:hAnsiTheme="minorHAnsi" w:cstheme="minorHAnsi"/>
          <w:i/>
        </w:rPr>
      </w:pPr>
      <w:r w:rsidRPr="003006D1">
        <w:rPr>
          <w:rFonts w:asciiTheme="minorHAnsi" w:hAnsiTheme="minorHAnsi" w:cstheme="minorHAnsi"/>
          <w:b/>
          <w:i/>
        </w:rPr>
        <w:t>Other commercial activities related to the purchase and sale of goods</w:t>
      </w:r>
      <w:r w:rsidRPr="003006D1">
        <w:rPr>
          <w:rFonts w:asciiTheme="minorHAnsi" w:hAnsiTheme="minorHAnsi" w:cstheme="minorHAnsi"/>
        </w:rPr>
        <w:t xml:space="preserve">. </w:t>
      </w:r>
      <w:r w:rsidRPr="00D46469">
        <w:rPr>
          <w:rFonts w:asciiTheme="minorHAnsi" w:hAnsiTheme="minorHAnsi" w:cstheme="minorHAnsi"/>
          <w:i/>
        </w:rPr>
        <w:t>(Emphasis added).</w:t>
      </w:r>
    </w:p>
    <w:p w:rsidR="00303C58" w:rsidRDefault="00303C58" w:rsidP="00D46469">
      <w:pPr>
        <w:pStyle w:val="Heading3"/>
        <w:numPr>
          <w:ilvl w:val="0"/>
          <w:numId w:val="0"/>
        </w:numPr>
        <w:spacing w:after="0" w:line="240" w:lineRule="auto"/>
        <w:jc w:val="both"/>
        <w:rPr>
          <w:rFonts w:asciiTheme="minorHAnsi" w:hAnsiTheme="minorHAnsi" w:cstheme="minorHAnsi"/>
        </w:rPr>
      </w:pPr>
    </w:p>
    <w:p w:rsidR="00E766BA" w:rsidRPr="003006D1" w:rsidRDefault="00E766BA" w:rsidP="00D46469">
      <w:pPr>
        <w:pStyle w:val="Heading3"/>
        <w:numPr>
          <w:ilvl w:val="0"/>
          <w:numId w:val="0"/>
        </w:numPr>
        <w:spacing w:after="0" w:line="240" w:lineRule="auto"/>
        <w:jc w:val="both"/>
        <w:rPr>
          <w:rFonts w:asciiTheme="minorHAnsi" w:hAnsiTheme="minorHAnsi" w:cstheme="minorHAnsi"/>
        </w:rPr>
      </w:pPr>
      <w:r w:rsidRPr="003006D1">
        <w:rPr>
          <w:rFonts w:asciiTheme="minorHAnsi" w:hAnsiTheme="minorHAnsi" w:cstheme="minorHAnsi"/>
        </w:rPr>
        <w:t>The last item means that literally any service that touches on the sale and purchase of goods may be deemed subject to the "trading license" requirement.</w:t>
      </w:r>
    </w:p>
    <w:p w:rsidR="00303C58" w:rsidRDefault="00303C58" w:rsidP="00D46469">
      <w:pPr>
        <w:pStyle w:val="Heading5"/>
        <w:numPr>
          <w:ilvl w:val="0"/>
          <w:numId w:val="0"/>
        </w:numPr>
        <w:spacing w:after="0" w:line="240" w:lineRule="auto"/>
        <w:ind w:left="1008"/>
        <w:jc w:val="both"/>
        <w:rPr>
          <w:b/>
        </w:rPr>
      </w:pPr>
    </w:p>
    <w:p w:rsidR="00B03613" w:rsidRDefault="00B03613" w:rsidP="00D46469">
      <w:pPr>
        <w:pStyle w:val="Heading5"/>
        <w:numPr>
          <w:ilvl w:val="0"/>
          <w:numId w:val="0"/>
        </w:numPr>
        <w:spacing w:after="0" w:line="240" w:lineRule="auto"/>
        <w:jc w:val="both"/>
      </w:pPr>
      <w:r w:rsidRPr="00A85D1B">
        <w:rPr>
          <w:b/>
        </w:rPr>
        <w:t>Suggestion</w:t>
      </w:r>
      <w:r>
        <w:t>:</w:t>
      </w:r>
    </w:p>
    <w:p w:rsidR="00303C58" w:rsidRPr="0090471A" w:rsidRDefault="00303C58" w:rsidP="00D46469">
      <w:pPr>
        <w:pStyle w:val="Heading5"/>
        <w:numPr>
          <w:ilvl w:val="0"/>
          <w:numId w:val="0"/>
        </w:numPr>
        <w:spacing w:after="0" w:line="240" w:lineRule="auto"/>
        <w:jc w:val="both"/>
      </w:pPr>
    </w:p>
    <w:p w:rsidR="00F1726A" w:rsidRDefault="00F1726A" w:rsidP="00D46469">
      <w:pPr>
        <w:pStyle w:val="Heading3"/>
        <w:numPr>
          <w:ilvl w:val="0"/>
          <w:numId w:val="0"/>
        </w:numPr>
        <w:spacing w:after="0" w:line="240" w:lineRule="auto"/>
        <w:jc w:val="both"/>
        <w:rPr>
          <w:rFonts w:asciiTheme="minorHAnsi" w:hAnsiTheme="minorHAnsi" w:cstheme="minorHAnsi"/>
        </w:rPr>
      </w:pPr>
      <w:r w:rsidRPr="003006D1">
        <w:rPr>
          <w:rFonts w:asciiTheme="minorHAnsi" w:hAnsiTheme="minorHAnsi" w:cstheme="minorHAnsi"/>
        </w:rPr>
        <w:t xml:space="preserve">We have raised this issue before and the only response has been a citation to the offending measure. We </w:t>
      </w:r>
      <w:r w:rsidR="00E766BA" w:rsidRPr="003006D1">
        <w:rPr>
          <w:rFonts w:asciiTheme="minorHAnsi" w:hAnsiTheme="minorHAnsi" w:cstheme="minorHAnsi"/>
        </w:rPr>
        <w:t xml:space="preserve">respectfully request </w:t>
      </w:r>
      <w:r w:rsidRPr="003006D1">
        <w:rPr>
          <w:rFonts w:asciiTheme="minorHAnsi" w:hAnsiTheme="minorHAnsi" w:cstheme="minorHAnsi"/>
        </w:rPr>
        <w:t xml:space="preserve">that the measure itself be scrutinized </w:t>
      </w:r>
      <w:r w:rsidR="00E766BA" w:rsidRPr="003006D1">
        <w:rPr>
          <w:rFonts w:asciiTheme="minorHAnsi" w:hAnsiTheme="minorHAnsi" w:cstheme="minorHAnsi"/>
        </w:rPr>
        <w:t xml:space="preserve">more </w:t>
      </w:r>
      <w:r w:rsidRPr="003006D1">
        <w:rPr>
          <w:rFonts w:asciiTheme="minorHAnsi" w:hAnsiTheme="minorHAnsi" w:cstheme="minorHAnsi"/>
        </w:rPr>
        <w:t>carefully with a view to a more transparent and efficient approach.</w:t>
      </w:r>
    </w:p>
    <w:p w:rsidR="00303C58" w:rsidRPr="003006D1" w:rsidRDefault="00303C58" w:rsidP="00D46469">
      <w:pPr>
        <w:pStyle w:val="Heading3"/>
        <w:numPr>
          <w:ilvl w:val="0"/>
          <w:numId w:val="0"/>
        </w:numPr>
        <w:spacing w:after="0" w:line="240" w:lineRule="auto"/>
        <w:jc w:val="both"/>
        <w:rPr>
          <w:rFonts w:asciiTheme="minorHAnsi" w:hAnsiTheme="minorHAnsi" w:cstheme="minorHAnsi"/>
        </w:rPr>
      </w:pPr>
    </w:p>
    <w:p w:rsidR="0079722C" w:rsidRPr="003006D1" w:rsidRDefault="00A864BC" w:rsidP="00D46469">
      <w:pPr>
        <w:pStyle w:val="Heading3"/>
        <w:spacing w:after="0" w:line="240" w:lineRule="auto"/>
        <w:ind w:left="720"/>
        <w:jc w:val="both"/>
        <w:rPr>
          <w:rFonts w:asciiTheme="minorHAnsi" w:hAnsiTheme="minorHAnsi" w:cstheme="minorHAnsi"/>
        </w:rPr>
      </w:pPr>
      <w:r w:rsidRPr="003006D1">
        <w:rPr>
          <w:rFonts w:asciiTheme="minorHAnsi" w:hAnsiTheme="minorHAnsi" w:cstheme="minorHAnsi"/>
        </w:rPr>
        <w:t xml:space="preserve">HS Code Requirement for FIE </w:t>
      </w:r>
      <w:r w:rsidR="003704AB" w:rsidRPr="00757088">
        <w:t>Trading License</w:t>
      </w:r>
    </w:p>
    <w:p w:rsidR="00303C58" w:rsidRDefault="00303C58" w:rsidP="00D46469">
      <w:pPr>
        <w:pStyle w:val="Heading5"/>
        <w:numPr>
          <w:ilvl w:val="0"/>
          <w:numId w:val="0"/>
        </w:numPr>
        <w:spacing w:after="0" w:line="240" w:lineRule="auto"/>
        <w:ind w:left="18"/>
        <w:jc w:val="both"/>
        <w:rPr>
          <w:b/>
        </w:rPr>
      </w:pPr>
    </w:p>
    <w:p w:rsidR="003704AB" w:rsidRDefault="003704AB" w:rsidP="00D46469">
      <w:pPr>
        <w:pStyle w:val="Heading5"/>
        <w:numPr>
          <w:ilvl w:val="0"/>
          <w:numId w:val="0"/>
        </w:numPr>
        <w:spacing w:after="0" w:line="240" w:lineRule="auto"/>
        <w:ind w:left="18"/>
        <w:jc w:val="both"/>
      </w:pPr>
      <w:r w:rsidRPr="00DD079F">
        <w:rPr>
          <w:b/>
        </w:rPr>
        <w:t>Issues</w:t>
      </w:r>
      <w:r>
        <w:t>:</w:t>
      </w:r>
    </w:p>
    <w:p w:rsidR="00303C58" w:rsidRDefault="00303C58" w:rsidP="00D46469">
      <w:pPr>
        <w:pStyle w:val="Heading5"/>
        <w:numPr>
          <w:ilvl w:val="0"/>
          <w:numId w:val="0"/>
        </w:numPr>
        <w:spacing w:after="0" w:line="240" w:lineRule="auto"/>
        <w:ind w:left="18"/>
        <w:jc w:val="both"/>
      </w:pPr>
    </w:p>
    <w:p w:rsidR="003704AB" w:rsidRDefault="003704AB" w:rsidP="00D46469">
      <w:pPr>
        <w:pStyle w:val="Heading5"/>
        <w:numPr>
          <w:ilvl w:val="0"/>
          <w:numId w:val="0"/>
        </w:numPr>
        <w:spacing w:after="0" w:line="240" w:lineRule="auto"/>
        <w:ind w:left="18"/>
        <w:jc w:val="both"/>
      </w:pPr>
      <w:r w:rsidRPr="00757088">
        <w:t>According to Art</w:t>
      </w:r>
      <w:r>
        <w:t xml:space="preserve">icle </w:t>
      </w:r>
      <w:r w:rsidRPr="00757088">
        <w:t xml:space="preserve">5 of Decree 23/2007, </w:t>
      </w:r>
      <w:r w:rsidR="008018E6">
        <w:t xml:space="preserve">an </w:t>
      </w:r>
      <w:r w:rsidRPr="00757088">
        <w:t>FIE must obtain a Trading</w:t>
      </w:r>
      <w:r>
        <w:t xml:space="preserve"> License prior to its conduct</w:t>
      </w:r>
      <w:r w:rsidRPr="00757088">
        <w:t xml:space="preserve"> of trading/distribution activities.</w:t>
      </w:r>
      <w:r>
        <w:t xml:space="preserve">  Although Decree 23/2007 does not explicitly require it, the </w:t>
      </w:r>
      <w:proofErr w:type="spellStart"/>
      <w:r>
        <w:t>MOIT</w:t>
      </w:r>
      <w:proofErr w:type="spellEnd"/>
      <w:r>
        <w:t xml:space="preserve"> has issued many official letters, e.g., Official Letter No. 0304/</w:t>
      </w:r>
      <w:proofErr w:type="spellStart"/>
      <w:r>
        <w:t>BCT-KH</w:t>
      </w:r>
      <w:proofErr w:type="spellEnd"/>
      <w:r>
        <w:t xml:space="preserve"> on </w:t>
      </w:r>
      <w:r w:rsidR="00303C58">
        <w:t xml:space="preserve">9 Jan 2008 to DPI </w:t>
      </w:r>
      <w:proofErr w:type="spellStart"/>
      <w:r w:rsidR="00303C58">
        <w:t>Ho</w:t>
      </w:r>
      <w:proofErr w:type="spellEnd"/>
      <w:r w:rsidR="00303C58">
        <w:t xml:space="preserve"> Chi Minh, </w:t>
      </w:r>
      <w:r>
        <w:t xml:space="preserve">requesting </w:t>
      </w:r>
      <w:proofErr w:type="spellStart"/>
      <w:r>
        <w:t>FIEs</w:t>
      </w:r>
      <w:proofErr w:type="spellEnd"/>
      <w:r>
        <w:t xml:space="preserve"> to include the exact HS codes in their applications and local DPI to include specific HS codes in the Trading License (prior to 2015, in the Investment Certificate).</w:t>
      </w:r>
    </w:p>
    <w:p w:rsidR="00303C58" w:rsidRDefault="00303C58" w:rsidP="00D46469">
      <w:pPr>
        <w:pStyle w:val="Heading5"/>
        <w:numPr>
          <w:ilvl w:val="0"/>
          <w:numId w:val="0"/>
        </w:numPr>
        <w:spacing w:after="0" w:line="240" w:lineRule="auto"/>
        <w:ind w:left="18"/>
        <w:jc w:val="both"/>
      </w:pPr>
    </w:p>
    <w:p w:rsidR="003704AB" w:rsidRDefault="003704AB" w:rsidP="00D46469">
      <w:pPr>
        <w:pStyle w:val="Heading5"/>
        <w:numPr>
          <w:ilvl w:val="0"/>
          <w:numId w:val="0"/>
        </w:numPr>
        <w:spacing w:after="0" w:line="240" w:lineRule="auto"/>
        <w:ind w:left="18"/>
        <w:jc w:val="both"/>
      </w:pPr>
      <w:r w:rsidRPr="006E616C">
        <w:t xml:space="preserve">The requirement that foreign invested trading enterprises include the HS Codes of the products they import and distribute in their Trading License and Retail Store Licenses (for 2nd store onward) seems not only unnecessarily onerous and burdensome, it also seems to raise an issue of National Treatment in so far as domestic trading companies are not subject to the same handicap. </w:t>
      </w:r>
    </w:p>
    <w:p w:rsidR="00303C58" w:rsidRPr="006E616C" w:rsidRDefault="00303C58" w:rsidP="00D46469">
      <w:pPr>
        <w:pStyle w:val="Heading5"/>
        <w:numPr>
          <w:ilvl w:val="0"/>
          <w:numId w:val="0"/>
        </w:numPr>
        <w:spacing w:after="0" w:line="240" w:lineRule="auto"/>
        <w:ind w:left="18"/>
        <w:jc w:val="both"/>
      </w:pPr>
    </w:p>
    <w:p w:rsidR="003704AB" w:rsidRDefault="008018E6" w:rsidP="00D46469">
      <w:pPr>
        <w:pStyle w:val="Heading5"/>
        <w:numPr>
          <w:ilvl w:val="0"/>
          <w:numId w:val="0"/>
        </w:numPr>
        <w:spacing w:after="0" w:line="240" w:lineRule="auto"/>
        <w:ind w:left="18"/>
        <w:jc w:val="both"/>
      </w:pPr>
      <w:r>
        <w:t xml:space="preserve">In other words, domestically-owned </w:t>
      </w:r>
      <w:r w:rsidR="003704AB" w:rsidRPr="006E616C">
        <w:t>companies are not subject to the same requirement, so it is therefore discriminatory against foreign-invested traders. This handicap prevents foreign invested trading companie</w:t>
      </w:r>
      <w:r w:rsidR="003704AB" w:rsidRPr="00AF22DA">
        <w:t xml:space="preserve">s from supplying in a timely manner all kinds of imported components, </w:t>
      </w:r>
      <w:bookmarkStart w:id="1" w:name="_GoBack"/>
      <w:bookmarkEnd w:id="1"/>
      <w:r w:rsidR="003704AB" w:rsidRPr="00AF22DA">
        <w:t xml:space="preserve">raw materials and finished products needed for the supply chain to function efficiently because it </w:t>
      </w:r>
      <w:r w:rsidR="003704AB" w:rsidRPr="00AF22DA">
        <w:lastRenderedPageBreak/>
        <w:t>requires them to amend their Trading License and Retail Store Licenses each time they want to offer a new product. This requirement applies even where the product in question is not subject to any condition or special licensing requirement.  In any case, issues of safety, human health, and the environment are already addressed in other regul</w:t>
      </w:r>
      <w:r w:rsidR="003704AB" w:rsidRPr="006E616C">
        <w:t xml:space="preserve">ations applicable to the importation of goods. Therefore, </w:t>
      </w:r>
      <w:r w:rsidR="003704AB">
        <w:t xml:space="preserve">this </w:t>
      </w:r>
      <w:r w:rsidR="003704AB" w:rsidRPr="006E616C">
        <w:t>measure is redundant and unnecessary, constituting a discriminatory nontariff barrier, and we respectfully suggest that it should be eliminated.</w:t>
      </w:r>
    </w:p>
    <w:p w:rsidR="00303C58" w:rsidRDefault="00303C58" w:rsidP="00D46469">
      <w:pPr>
        <w:pStyle w:val="Heading5"/>
        <w:numPr>
          <w:ilvl w:val="0"/>
          <w:numId w:val="0"/>
        </w:numPr>
        <w:spacing w:after="0" w:line="240" w:lineRule="auto"/>
        <w:ind w:left="18"/>
        <w:jc w:val="both"/>
      </w:pPr>
    </w:p>
    <w:p w:rsidR="003704AB" w:rsidRDefault="003704AB" w:rsidP="00D46469">
      <w:pPr>
        <w:pStyle w:val="Heading5"/>
        <w:numPr>
          <w:ilvl w:val="0"/>
          <w:numId w:val="0"/>
        </w:numPr>
        <w:spacing w:after="0" w:line="240" w:lineRule="auto"/>
        <w:ind w:left="18"/>
        <w:jc w:val="both"/>
      </w:pPr>
      <w:r w:rsidRPr="00A85D1B">
        <w:rPr>
          <w:b/>
        </w:rPr>
        <w:t>Suggestion</w:t>
      </w:r>
      <w:r>
        <w:t>:</w:t>
      </w:r>
    </w:p>
    <w:p w:rsidR="00303C58" w:rsidRDefault="00303C58" w:rsidP="00D46469">
      <w:pPr>
        <w:pStyle w:val="Heading5"/>
        <w:numPr>
          <w:ilvl w:val="0"/>
          <w:numId w:val="0"/>
        </w:numPr>
        <w:spacing w:after="0" w:line="240" w:lineRule="auto"/>
        <w:ind w:left="18"/>
        <w:jc w:val="both"/>
      </w:pPr>
    </w:p>
    <w:p w:rsidR="003704AB" w:rsidRDefault="003704AB" w:rsidP="00D46469">
      <w:pPr>
        <w:pStyle w:val="Heading5"/>
        <w:numPr>
          <w:ilvl w:val="0"/>
          <w:numId w:val="0"/>
        </w:numPr>
        <w:spacing w:after="0" w:line="240" w:lineRule="auto"/>
        <w:ind w:left="18"/>
        <w:jc w:val="both"/>
      </w:pPr>
      <w:r>
        <w:t xml:space="preserve">Decree replacing Decree 23 should provide that </w:t>
      </w:r>
      <w:proofErr w:type="spellStart"/>
      <w:r>
        <w:t>FIEs</w:t>
      </w:r>
      <w:proofErr w:type="spellEnd"/>
      <w:r>
        <w:t>' licenses do not include reference to HS codes, and they can trade any products that are not prohibited by the laws.</w:t>
      </w:r>
    </w:p>
    <w:p w:rsidR="00303C58" w:rsidRPr="003006D1" w:rsidRDefault="00303C58" w:rsidP="00D46469">
      <w:pPr>
        <w:pStyle w:val="Heading5"/>
        <w:numPr>
          <w:ilvl w:val="0"/>
          <w:numId w:val="0"/>
        </w:numPr>
        <w:spacing w:after="0" w:line="240" w:lineRule="auto"/>
        <w:ind w:left="18"/>
        <w:jc w:val="both"/>
        <w:rPr>
          <w:rFonts w:asciiTheme="minorHAnsi" w:hAnsiTheme="minorHAnsi" w:cstheme="minorHAnsi"/>
        </w:rPr>
      </w:pPr>
    </w:p>
    <w:p w:rsidR="00F1726A" w:rsidRPr="003006D1" w:rsidRDefault="00E766BA" w:rsidP="00D46469">
      <w:pPr>
        <w:pStyle w:val="Heading3"/>
        <w:spacing w:after="0" w:line="240" w:lineRule="auto"/>
        <w:ind w:left="720"/>
        <w:jc w:val="both"/>
        <w:rPr>
          <w:rFonts w:asciiTheme="minorHAnsi" w:hAnsiTheme="minorHAnsi" w:cstheme="minorHAnsi"/>
        </w:rPr>
      </w:pPr>
      <w:r w:rsidRPr="003006D1">
        <w:rPr>
          <w:rFonts w:asciiTheme="minorHAnsi" w:hAnsiTheme="minorHAnsi" w:cstheme="minorHAnsi"/>
        </w:rPr>
        <w:t>"</w:t>
      </w:r>
      <w:r w:rsidR="00F1726A" w:rsidRPr="003006D1">
        <w:rPr>
          <w:rFonts w:asciiTheme="minorHAnsi" w:hAnsiTheme="minorHAnsi" w:cstheme="minorHAnsi"/>
        </w:rPr>
        <w:t>Economic Needs Test</w:t>
      </w:r>
      <w:r w:rsidRPr="003006D1">
        <w:rPr>
          <w:rFonts w:asciiTheme="minorHAnsi" w:hAnsiTheme="minorHAnsi" w:cstheme="minorHAnsi"/>
        </w:rPr>
        <w:t>"</w:t>
      </w:r>
    </w:p>
    <w:p w:rsidR="00303C58" w:rsidRDefault="00303C58" w:rsidP="00D46469">
      <w:pPr>
        <w:pStyle w:val="Heading3"/>
        <w:numPr>
          <w:ilvl w:val="0"/>
          <w:numId w:val="0"/>
        </w:numPr>
        <w:spacing w:after="0" w:line="240" w:lineRule="auto"/>
        <w:jc w:val="both"/>
        <w:rPr>
          <w:rFonts w:asciiTheme="minorHAnsi" w:hAnsiTheme="minorHAnsi" w:cstheme="minorHAnsi"/>
        </w:rPr>
      </w:pPr>
    </w:p>
    <w:p w:rsidR="00F1726A" w:rsidRDefault="00F1726A" w:rsidP="00D46469">
      <w:pPr>
        <w:pStyle w:val="Heading3"/>
        <w:numPr>
          <w:ilvl w:val="0"/>
          <w:numId w:val="0"/>
        </w:numPr>
        <w:spacing w:after="0" w:line="240" w:lineRule="auto"/>
        <w:jc w:val="both"/>
        <w:rPr>
          <w:rFonts w:asciiTheme="minorHAnsi" w:hAnsiTheme="minorHAnsi" w:cstheme="minorHAnsi"/>
        </w:rPr>
      </w:pPr>
      <w:r w:rsidRPr="003006D1">
        <w:rPr>
          <w:rFonts w:asciiTheme="minorHAnsi" w:hAnsiTheme="minorHAnsi" w:cstheme="minorHAnsi"/>
        </w:rPr>
        <w:t>We have questioned the need for the so-called “Economic Needs Test” (“ENT”) many times and have never received a satisfactory ans</w:t>
      </w:r>
      <w:r w:rsidR="00D46469">
        <w:rPr>
          <w:rFonts w:asciiTheme="minorHAnsi" w:hAnsiTheme="minorHAnsi" w:cstheme="minorHAnsi"/>
        </w:rPr>
        <w:t xml:space="preserve">wer as to why it is necessary. </w:t>
      </w:r>
      <w:r w:rsidRPr="003006D1">
        <w:rPr>
          <w:rFonts w:asciiTheme="minorHAnsi" w:hAnsiTheme="minorHAnsi" w:cstheme="minorHAnsi"/>
        </w:rPr>
        <w:t>There are no objective criteria for its application and all it does is present in another handicap to foreign retailers seeking to develop the market.</w:t>
      </w:r>
      <w:r w:rsidR="002C0706" w:rsidRPr="003006D1">
        <w:rPr>
          <w:rFonts w:asciiTheme="minorHAnsi" w:hAnsiTheme="minorHAnsi" w:cstheme="minorHAnsi"/>
        </w:rPr>
        <w:t xml:space="preserve"> The ENT </w:t>
      </w:r>
      <w:r w:rsidR="00AC148F">
        <w:rPr>
          <w:rFonts w:asciiTheme="minorHAnsi" w:hAnsiTheme="minorHAnsi" w:cstheme="minorHAnsi"/>
        </w:rPr>
        <w:t xml:space="preserve">would </w:t>
      </w:r>
      <w:r w:rsidR="002C0706" w:rsidRPr="003006D1">
        <w:rPr>
          <w:rFonts w:asciiTheme="minorHAnsi" w:hAnsiTheme="minorHAnsi" w:cstheme="minorHAnsi"/>
        </w:rPr>
        <w:t xml:space="preserve">have been eliminated in five years under the </w:t>
      </w:r>
      <w:proofErr w:type="spellStart"/>
      <w:r w:rsidR="0029099D">
        <w:rPr>
          <w:rFonts w:asciiTheme="minorHAnsi" w:hAnsiTheme="minorHAnsi" w:cstheme="minorHAnsi"/>
        </w:rPr>
        <w:t>CP</w:t>
      </w:r>
      <w:r w:rsidR="002C0706" w:rsidRPr="003006D1">
        <w:rPr>
          <w:rFonts w:asciiTheme="minorHAnsi" w:hAnsiTheme="minorHAnsi" w:cstheme="minorHAnsi"/>
        </w:rPr>
        <w:t>TPP</w:t>
      </w:r>
      <w:proofErr w:type="spellEnd"/>
      <w:r w:rsidR="0029099D">
        <w:rPr>
          <w:rFonts w:asciiTheme="minorHAnsi" w:hAnsiTheme="minorHAnsi" w:cstheme="minorHAnsi"/>
        </w:rPr>
        <w:t xml:space="preserve"> and the EU-</w:t>
      </w:r>
      <w:proofErr w:type="spellStart"/>
      <w:r w:rsidR="0029099D">
        <w:rPr>
          <w:rFonts w:asciiTheme="minorHAnsi" w:hAnsiTheme="minorHAnsi" w:cstheme="minorHAnsi"/>
        </w:rPr>
        <w:t>VN</w:t>
      </w:r>
      <w:proofErr w:type="spellEnd"/>
      <w:r w:rsidR="0029099D">
        <w:rPr>
          <w:rFonts w:asciiTheme="minorHAnsi" w:hAnsiTheme="minorHAnsi" w:cstheme="minorHAnsi"/>
        </w:rPr>
        <w:t xml:space="preserve"> </w:t>
      </w:r>
      <w:proofErr w:type="spellStart"/>
      <w:r w:rsidR="0029099D">
        <w:rPr>
          <w:rFonts w:asciiTheme="minorHAnsi" w:hAnsiTheme="minorHAnsi" w:cstheme="minorHAnsi"/>
        </w:rPr>
        <w:t>FTA</w:t>
      </w:r>
      <w:proofErr w:type="spellEnd"/>
      <w:r w:rsidR="002C0706" w:rsidRPr="003006D1">
        <w:rPr>
          <w:rFonts w:asciiTheme="minorHAnsi" w:hAnsiTheme="minorHAnsi" w:cstheme="minorHAnsi"/>
        </w:rPr>
        <w:t>, recognizing its uselessness. Why not accelerated this reasonable measure and help the many retail construction projects looking for good tenants around the country by giving full play to the spirit of the WTO commitments to open the market to foreign important distribution services?</w:t>
      </w:r>
    </w:p>
    <w:p w:rsidR="00303C58" w:rsidRDefault="00303C58" w:rsidP="00D46469">
      <w:pPr>
        <w:pStyle w:val="BodyText"/>
        <w:spacing w:after="0" w:line="240" w:lineRule="auto"/>
        <w:jc w:val="both"/>
        <w:rPr>
          <w:b/>
        </w:rPr>
      </w:pPr>
    </w:p>
    <w:p w:rsidR="008F5A90" w:rsidRDefault="008F5A90" w:rsidP="00D46469">
      <w:pPr>
        <w:pStyle w:val="BodyText"/>
        <w:spacing w:after="0" w:line="240" w:lineRule="auto"/>
        <w:jc w:val="both"/>
      </w:pPr>
      <w:r w:rsidRPr="00983C37">
        <w:rPr>
          <w:b/>
        </w:rPr>
        <w:t>Issue</w:t>
      </w:r>
      <w:r>
        <w:t>:</w:t>
      </w:r>
    </w:p>
    <w:p w:rsidR="00303C58" w:rsidRDefault="00303C58" w:rsidP="00D46469">
      <w:pPr>
        <w:pStyle w:val="BodyText"/>
        <w:spacing w:after="0" w:line="240" w:lineRule="auto"/>
        <w:jc w:val="both"/>
      </w:pPr>
    </w:p>
    <w:p w:rsidR="008F5A90" w:rsidRDefault="008F5A90" w:rsidP="00D46469">
      <w:pPr>
        <w:pStyle w:val="BodyText"/>
        <w:spacing w:after="0" w:line="240" w:lineRule="auto"/>
        <w:jc w:val="both"/>
      </w:pPr>
      <w:r w:rsidRPr="004A65D9">
        <w:t xml:space="preserve">Under Vietnam's WTO Commitments, </w:t>
      </w:r>
      <w:r w:rsidRPr="00D46469">
        <w:rPr>
          <w:i/>
        </w:rPr>
        <w:t>"</w:t>
      </w:r>
      <w:r w:rsidRPr="0084158A">
        <w:rPr>
          <w:i/>
        </w:rPr>
        <w:t>the establishment of outlets for retail services (beyond the first one) shall be allowed on the basis of</w:t>
      </w:r>
      <w:r w:rsidR="00D46469">
        <w:rPr>
          <w:i/>
        </w:rPr>
        <w:t xml:space="preserve"> an Economic Needs Test (ENT). </w:t>
      </w:r>
      <w:r w:rsidRPr="0084158A">
        <w:rPr>
          <w:i/>
        </w:rPr>
        <w:t>Applications to establish more than one outlet shall be subject to pre-established publicly available procedures, and approval shall b</w:t>
      </w:r>
      <w:r w:rsidR="00D46469">
        <w:rPr>
          <w:i/>
        </w:rPr>
        <w:t xml:space="preserve">e based on objective criteria. </w:t>
      </w:r>
      <w:r w:rsidRPr="0084158A">
        <w:rPr>
          <w:i/>
        </w:rPr>
        <w:t>The main criteria of the ENT include the number of existing service suppliers in a particular geographic area, the stability of market and geographic scale</w:t>
      </w:r>
      <w:r w:rsidRPr="00D46469">
        <w:rPr>
          <w:i/>
        </w:rPr>
        <w:t>"</w:t>
      </w:r>
      <w:r w:rsidR="00413A9A" w:rsidRPr="00D46469">
        <w:rPr>
          <w:i/>
        </w:rPr>
        <w:t>.</w:t>
      </w:r>
    </w:p>
    <w:p w:rsidR="00303C58" w:rsidRDefault="00303C58" w:rsidP="00D46469">
      <w:pPr>
        <w:pStyle w:val="BodyText"/>
        <w:spacing w:after="0" w:line="240" w:lineRule="auto"/>
        <w:jc w:val="both"/>
      </w:pPr>
    </w:p>
    <w:p w:rsidR="008F5A90" w:rsidRDefault="008F5A90" w:rsidP="00D46469">
      <w:pPr>
        <w:pStyle w:val="BodyText"/>
        <w:spacing w:after="0" w:line="240" w:lineRule="auto"/>
        <w:jc w:val="both"/>
      </w:pPr>
      <w:r>
        <w:t xml:space="preserve">Accordingly, foreign invested enterprise is subject to ENT if it establishes second retail store and onward, if the store is from </w:t>
      </w:r>
      <w:proofErr w:type="spellStart"/>
      <w:r>
        <w:t>500sqm</w:t>
      </w:r>
      <w:proofErr w:type="spellEnd"/>
      <w:r>
        <w:t xml:space="preserve"> and/or is not in a retail zoning area, such as a mall or department store.</w:t>
      </w:r>
    </w:p>
    <w:p w:rsidR="00303C58" w:rsidRDefault="00303C58" w:rsidP="00D46469">
      <w:pPr>
        <w:pStyle w:val="BodyText"/>
        <w:spacing w:after="0" w:line="240" w:lineRule="auto"/>
        <w:jc w:val="both"/>
      </w:pPr>
    </w:p>
    <w:p w:rsidR="008F5A90" w:rsidRDefault="008F5A90" w:rsidP="00D46469">
      <w:pPr>
        <w:pStyle w:val="BodyText"/>
        <w:spacing w:after="0" w:line="240" w:lineRule="auto"/>
        <w:jc w:val="both"/>
      </w:pPr>
      <w:r>
        <w:t xml:space="preserve">The ENT councils are established at the province/city level, including representatives of DPI, </w:t>
      </w:r>
      <w:proofErr w:type="spellStart"/>
      <w:r>
        <w:t>DOIT</w:t>
      </w:r>
      <w:proofErr w:type="spellEnd"/>
      <w:r>
        <w:t>, and relevant District, to review and give their opinion on each store, based on the ENT criteria provided under Decree 23/2007.</w:t>
      </w:r>
    </w:p>
    <w:p w:rsidR="00303C58" w:rsidRDefault="00303C58" w:rsidP="00D46469">
      <w:pPr>
        <w:pStyle w:val="BodyText"/>
        <w:spacing w:after="0" w:line="240" w:lineRule="auto"/>
        <w:jc w:val="both"/>
      </w:pPr>
    </w:p>
    <w:p w:rsidR="008F5A90" w:rsidRDefault="008F5A90" w:rsidP="00D46469">
      <w:pPr>
        <w:pStyle w:val="BodyText"/>
        <w:spacing w:after="0" w:line="240" w:lineRule="auto"/>
        <w:jc w:val="both"/>
      </w:pPr>
      <w:r>
        <w:t xml:space="preserve">The problem that enterprises in this sector are facing now is that </w:t>
      </w:r>
      <w:proofErr w:type="spellStart"/>
      <w:r>
        <w:t>MOIT</w:t>
      </w:r>
      <w:proofErr w:type="spellEnd"/>
      <w:r>
        <w:t xml:space="preserve"> does not accept the results of ENT review of the ENT council at its discretion, even when the ENT council has i</w:t>
      </w:r>
      <w:r w:rsidR="00D46469">
        <w:t xml:space="preserve">ssued its supportive opinions. </w:t>
      </w:r>
      <w:proofErr w:type="spellStart"/>
      <w:r>
        <w:t>MOIT</w:t>
      </w:r>
      <w:proofErr w:type="spellEnd"/>
      <w:r>
        <w:t xml:space="preserve"> has requested applying enterprises to provide </w:t>
      </w:r>
      <w:r w:rsidRPr="00C157F9">
        <w:t>the following data: (</w:t>
      </w:r>
      <w:proofErr w:type="spellStart"/>
      <w:r w:rsidRPr="00C157F9">
        <w:t>i</w:t>
      </w:r>
      <w:proofErr w:type="spellEnd"/>
      <w:r w:rsidRPr="00C157F9">
        <w:t>) Quantity of retail stores, (ii)</w:t>
      </w:r>
      <w:r>
        <w:t xml:space="preserve"> </w:t>
      </w:r>
      <w:r w:rsidRPr="00C157F9">
        <w:t>stability of market, (iii) residential density and (iv) scale of district-level localities where are expected for the setting up of retail establishments</w:t>
      </w:r>
      <w:r>
        <w:t xml:space="preserve">, so that ENT council can specifically re-confirm that relevant enterprise meets each </w:t>
      </w:r>
      <w:r w:rsidR="008018E6">
        <w:t xml:space="preserve">and every one </w:t>
      </w:r>
      <w:r>
        <w:t>of such criteria.</w:t>
      </w:r>
    </w:p>
    <w:p w:rsidR="00303C58" w:rsidRDefault="00303C58" w:rsidP="00D46469">
      <w:pPr>
        <w:pStyle w:val="BodyText"/>
        <w:spacing w:after="0" w:line="240" w:lineRule="auto"/>
        <w:ind w:left="990"/>
        <w:jc w:val="both"/>
      </w:pPr>
    </w:p>
    <w:p w:rsidR="008F5A90" w:rsidRDefault="008F5A90" w:rsidP="00D46469">
      <w:pPr>
        <w:pStyle w:val="BodyText"/>
        <w:spacing w:after="0" w:line="240" w:lineRule="auto"/>
        <w:jc w:val="both"/>
      </w:pPr>
      <w:r>
        <w:t xml:space="preserve">This request from </w:t>
      </w:r>
      <w:proofErr w:type="spellStart"/>
      <w:r>
        <w:t>MOIT</w:t>
      </w:r>
      <w:proofErr w:type="spellEnd"/>
      <w:r>
        <w:t xml:space="preserve"> is not in compliance with Decree 23/2007, under which the ENT council's op</w:t>
      </w:r>
      <w:r w:rsidR="00D46469">
        <w:t xml:space="preserve">inion is required only 1 time. </w:t>
      </w:r>
      <w:r>
        <w:t xml:space="preserve">Furthermore, an enterprise does not have </w:t>
      </w:r>
      <w:r w:rsidR="008018E6">
        <w:t xml:space="preserve">either the </w:t>
      </w:r>
      <w:r>
        <w:t xml:space="preserve">obligation </w:t>
      </w:r>
      <w:r w:rsidR="008018E6">
        <w:t>or</w:t>
      </w:r>
      <w:r>
        <w:t xml:space="preserve"> the resources to obtain the macro-economic and zoning data in order to give to the </w:t>
      </w:r>
      <w:r>
        <w:lastRenderedPageBreak/>
        <w:t>authorities to support each of its retail store applications. This has caused and will cause tremendous unofficial fees for the enterprises.</w:t>
      </w:r>
    </w:p>
    <w:p w:rsidR="00303C58" w:rsidRDefault="00303C58" w:rsidP="00D46469">
      <w:pPr>
        <w:pStyle w:val="Heading3"/>
        <w:numPr>
          <w:ilvl w:val="0"/>
          <w:numId w:val="0"/>
        </w:numPr>
        <w:spacing w:after="0" w:line="240" w:lineRule="auto"/>
        <w:jc w:val="both"/>
      </w:pPr>
    </w:p>
    <w:p w:rsidR="00807948" w:rsidRDefault="008F5A90" w:rsidP="00D46469">
      <w:pPr>
        <w:pStyle w:val="Heading3"/>
        <w:numPr>
          <w:ilvl w:val="0"/>
          <w:numId w:val="0"/>
        </w:numPr>
        <w:spacing w:after="0" w:line="240" w:lineRule="auto"/>
        <w:jc w:val="both"/>
      </w:pPr>
      <w:r>
        <w:t xml:space="preserve">Furthermore, there is currently no regulatory timeframe for the ENT council </w:t>
      </w:r>
      <w:r w:rsidR="008018E6">
        <w:t>or</w:t>
      </w:r>
      <w:r>
        <w:t xml:space="preserve"> the </w:t>
      </w:r>
      <w:proofErr w:type="spellStart"/>
      <w:r>
        <w:t>MOIT</w:t>
      </w:r>
      <w:proofErr w:type="spellEnd"/>
      <w:r>
        <w:t xml:space="preserve"> to respond to a retail store application/ENT case.</w:t>
      </w:r>
      <w:r w:rsidR="0029099D">
        <w:t xml:space="preserve"> In practice, </w:t>
      </w:r>
      <w:proofErr w:type="spellStart"/>
      <w:r w:rsidR="0029099D">
        <w:t>MOIT</w:t>
      </w:r>
      <w:proofErr w:type="spellEnd"/>
      <w:r w:rsidR="0029099D">
        <w:t xml:space="preserve"> has taken many months to issue the approval even upon issuance of ENT approval by ENT council.</w:t>
      </w:r>
    </w:p>
    <w:p w:rsidR="00303C58" w:rsidRDefault="00303C58" w:rsidP="00D46469">
      <w:pPr>
        <w:pStyle w:val="Heading3"/>
        <w:numPr>
          <w:ilvl w:val="0"/>
          <w:numId w:val="0"/>
        </w:numPr>
        <w:spacing w:after="0" w:line="240" w:lineRule="auto"/>
        <w:jc w:val="both"/>
        <w:rPr>
          <w:b/>
        </w:rPr>
      </w:pPr>
    </w:p>
    <w:p w:rsidR="008F5A90" w:rsidRDefault="008F5A90" w:rsidP="00D46469">
      <w:pPr>
        <w:pStyle w:val="Heading3"/>
        <w:numPr>
          <w:ilvl w:val="0"/>
          <w:numId w:val="0"/>
        </w:numPr>
        <w:spacing w:after="0" w:line="240" w:lineRule="auto"/>
        <w:jc w:val="both"/>
      </w:pPr>
      <w:r w:rsidRPr="00A85D1B">
        <w:rPr>
          <w:b/>
        </w:rPr>
        <w:t>Suggestion</w:t>
      </w:r>
      <w:r>
        <w:t>:</w:t>
      </w:r>
    </w:p>
    <w:p w:rsidR="00303C58" w:rsidRDefault="00303C58" w:rsidP="00D46469">
      <w:pPr>
        <w:pStyle w:val="Heading3"/>
        <w:numPr>
          <w:ilvl w:val="0"/>
          <w:numId w:val="0"/>
        </w:numPr>
        <w:spacing w:after="0" w:line="240" w:lineRule="auto"/>
        <w:jc w:val="both"/>
      </w:pPr>
    </w:p>
    <w:p w:rsidR="00E766BA" w:rsidRDefault="008F5A90" w:rsidP="00D46469">
      <w:pPr>
        <w:pStyle w:val="Heading3"/>
        <w:numPr>
          <w:ilvl w:val="0"/>
          <w:numId w:val="0"/>
        </w:numPr>
        <w:spacing w:after="0" w:line="240" w:lineRule="auto"/>
        <w:jc w:val="both"/>
      </w:pPr>
      <w:r>
        <w:t>Decree replacing Decree 23 must provide clearly on procedures, timeline, obligations of each of the authorities involving in this ENT in order to reduce time cost and unofficial cost for enterprises. The Decree must clarify the ENT applies for the 2nd physical store onward only.</w:t>
      </w:r>
      <w:r w:rsidR="008018E6">
        <w:t xml:space="preserve"> The principle of National Treatment should be respected.</w:t>
      </w:r>
    </w:p>
    <w:p w:rsidR="00303C58" w:rsidRPr="003006D1" w:rsidRDefault="00303C58" w:rsidP="00D46469">
      <w:pPr>
        <w:pStyle w:val="Heading3"/>
        <w:numPr>
          <w:ilvl w:val="0"/>
          <w:numId w:val="0"/>
        </w:numPr>
        <w:spacing w:after="0" w:line="240" w:lineRule="auto"/>
        <w:jc w:val="both"/>
        <w:rPr>
          <w:rFonts w:asciiTheme="minorHAnsi" w:hAnsiTheme="minorHAnsi" w:cstheme="minorHAnsi"/>
        </w:rPr>
      </w:pPr>
    </w:p>
    <w:p w:rsidR="00E766BA" w:rsidRPr="003006D1" w:rsidRDefault="00E766BA" w:rsidP="00D46469">
      <w:pPr>
        <w:pStyle w:val="Heading3"/>
        <w:spacing w:after="0" w:line="240" w:lineRule="auto"/>
        <w:ind w:left="720"/>
        <w:jc w:val="both"/>
        <w:rPr>
          <w:rFonts w:asciiTheme="minorHAnsi" w:hAnsiTheme="minorHAnsi" w:cstheme="minorHAnsi"/>
        </w:rPr>
      </w:pPr>
      <w:r w:rsidRPr="003006D1">
        <w:rPr>
          <w:rFonts w:asciiTheme="minorHAnsi" w:hAnsiTheme="minorHAnsi" w:cstheme="minorHAnsi"/>
        </w:rPr>
        <w:t>Customs</w:t>
      </w:r>
      <w:r w:rsidR="00FB0F24" w:rsidRPr="003006D1">
        <w:rPr>
          <w:rFonts w:asciiTheme="minorHAnsi" w:hAnsiTheme="minorHAnsi" w:cstheme="minorHAnsi"/>
        </w:rPr>
        <w:t xml:space="preserve"> Clearance</w:t>
      </w:r>
    </w:p>
    <w:p w:rsidR="00303C58" w:rsidRDefault="00303C58" w:rsidP="00D46469">
      <w:pPr>
        <w:pStyle w:val="Heading3"/>
        <w:numPr>
          <w:ilvl w:val="0"/>
          <w:numId w:val="0"/>
        </w:numPr>
        <w:spacing w:after="0" w:line="240" w:lineRule="auto"/>
        <w:jc w:val="both"/>
        <w:rPr>
          <w:rFonts w:asciiTheme="minorHAnsi" w:hAnsiTheme="minorHAnsi" w:cstheme="minorHAnsi"/>
        </w:rPr>
      </w:pPr>
    </w:p>
    <w:p w:rsidR="00E766BA" w:rsidRDefault="00E766BA" w:rsidP="00D46469">
      <w:pPr>
        <w:pStyle w:val="Heading3"/>
        <w:numPr>
          <w:ilvl w:val="0"/>
          <w:numId w:val="0"/>
        </w:numPr>
        <w:spacing w:after="0" w:line="240" w:lineRule="auto"/>
        <w:jc w:val="both"/>
        <w:rPr>
          <w:rFonts w:asciiTheme="minorHAnsi" w:hAnsiTheme="minorHAnsi" w:cstheme="minorHAnsi"/>
        </w:rPr>
      </w:pPr>
      <w:r w:rsidRPr="003006D1">
        <w:rPr>
          <w:rFonts w:asciiTheme="minorHAnsi" w:hAnsiTheme="minorHAnsi" w:cstheme="minorHAnsi"/>
        </w:rPr>
        <w:t>Although Vietnam’s customs procedures are currently being modernized with a new electronic customs clearance system (‘e Customs’), launched in 2014, delays are still common. These have largely been attributed to a number of inefficient and manual customs processes, including cargo inspections that lack transparency and consistency. For example, it takes, 21 days to export a cargo shipment from Vietnam, compared to 14 days from Thailand and 11 days from Malaysia.</w:t>
      </w:r>
      <w:r w:rsidR="00FB0F24" w:rsidRPr="003006D1">
        <w:rPr>
          <w:rFonts w:asciiTheme="minorHAnsi" w:hAnsiTheme="minorHAnsi" w:cstheme="minorHAnsi"/>
        </w:rPr>
        <w:t xml:space="preserve"> To be fair, most of the commonly cited delays are "behind the border" issues, including non-tariff barriers imposed by authorities other than</w:t>
      </w:r>
      <w:r w:rsidR="001335CE" w:rsidRPr="003006D1">
        <w:rPr>
          <w:rFonts w:asciiTheme="minorHAnsi" w:hAnsiTheme="minorHAnsi" w:cstheme="minorHAnsi"/>
        </w:rPr>
        <w:t xml:space="preserve"> customs, especially in the name of health and safety.</w:t>
      </w:r>
    </w:p>
    <w:p w:rsidR="00303C58" w:rsidRPr="003006D1" w:rsidRDefault="00303C58" w:rsidP="00D46469">
      <w:pPr>
        <w:pStyle w:val="Heading3"/>
        <w:numPr>
          <w:ilvl w:val="0"/>
          <w:numId w:val="0"/>
        </w:numPr>
        <w:spacing w:after="0" w:line="240" w:lineRule="auto"/>
        <w:jc w:val="both"/>
        <w:rPr>
          <w:rFonts w:asciiTheme="minorHAnsi" w:hAnsiTheme="minorHAnsi" w:cstheme="minorHAnsi"/>
        </w:rPr>
      </w:pPr>
    </w:p>
    <w:p w:rsidR="0035250C" w:rsidRPr="0035250C" w:rsidRDefault="00DF3DB7" w:rsidP="00D46469">
      <w:pPr>
        <w:pStyle w:val="Heading2"/>
        <w:tabs>
          <w:tab w:val="left" w:pos="540"/>
        </w:tabs>
        <w:spacing w:after="0" w:line="240" w:lineRule="auto"/>
        <w:ind w:left="360" w:hanging="360"/>
        <w:rPr>
          <w:rFonts w:asciiTheme="minorHAnsi" w:hAnsiTheme="minorHAnsi" w:cstheme="minorHAnsi"/>
          <w:color w:val="000000"/>
        </w:rPr>
      </w:pPr>
      <w:r>
        <w:rPr>
          <w:rFonts w:asciiTheme="minorHAnsi" w:hAnsiTheme="minorHAnsi" w:cstheme="minorHAnsi"/>
          <w:color w:val="000000"/>
        </w:rPr>
        <w:t xml:space="preserve">  </w:t>
      </w:r>
      <w:r w:rsidR="00A864BC" w:rsidRPr="003006D1">
        <w:rPr>
          <w:rFonts w:asciiTheme="minorHAnsi" w:hAnsiTheme="minorHAnsi" w:cstheme="minorHAnsi"/>
          <w:color w:val="000000"/>
        </w:rPr>
        <w:t>Banking Issues</w:t>
      </w:r>
      <w:r w:rsidR="0035250C">
        <w:rPr>
          <w:rFonts w:asciiTheme="minorHAnsi" w:hAnsiTheme="minorHAnsi" w:cstheme="minorHAnsi"/>
          <w:color w:val="000000"/>
        </w:rPr>
        <w:t xml:space="preserve"> - From the Enterprises' Perspective</w:t>
      </w:r>
      <w:r w:rsidR="008C1FE6">
        <w:rPr>
          <w:rFonts w:asciiTheme="minorHAnsi" w:hAnsiTheme="minorHAnsi" w:cstheme="minorHAnsi"/>
          <w:color w:val="000000"/>
        </w:rPr>
        <w:t xml:space="preserve"> </w:t>
      </w:r>
      <w:r w:rsidR="0035250C">
        <w:rPr>
          <w:rFonts w:asciiTheme="minorHAnsi" w:hAnsiTheme="minorHAnsi" w:cstheme="minorHAnsi"/>
          <w:color w:val="000000"/>
        </w:rPr>
        <w:br/>
      </w:r>
    </w:p>
    <w:p w:rsidR="00A864BC" w:rsidRDefault="00A864BC" w:rsidP="00D46469">
      <w:pPr>
        <w:pStyle w:val="Heading3"/>
        <w:numPr>
          <w:ilvl w:val="0"/>
          <w:numId w:val="0"/>
        </w:numPr>
        <w:spacing w:after="0" w:line="240" w:lineRule="auto"/>
        <w:jc w:val="both"/>
        <w:rPr>
          <w:rFonts w:asciiTheme="minorHAnsi" w:hAnsiTheme="minorHAnsi" w:cstheme="minorHAnsi"/>
        </w:rPr>
      </w:pPr>
      <w:r w:rsidRPr="003006D1">
        <w:rPr>
          <w:rFonts w:asciiTheme="minorHAnsi" w:hAnsiTheme="minorHAnsi" w:cstheme="minorHAnsi"/>
        </w:rPr>
        <w:t xml:space="preserve">Circular 32 on </w:t>
      </w:r>
      <w:r w:rsidR="000F684B">
        <w:rPr>
          <w:rFonts w:asciiTheme="minorHAnsi" w:hAnsiTheme="minorHAnsi" w:cstheme="minorHAnsi"/>
        </w:rPr>
        <w:t xml:space="preserve">Current </w:t>
      </w:r>
      <w:r w:rsidRPr="003006D1">
        <w:rPr>
          <w:rFonts w:asciiTheme="minorHAnsi" w:hAnsiTheme="minorHAnsi" w:cstheme="minorHAnsi"/>
        </w:rPr>
        <w:t>Account Opening</w:t>
      </w:r>
      <w:r w:rsidR="00303C58">
        <w:rPr>
          <w:rFonts w:asciiTheme="minorHAnsi" w:hAnsiTheme="minorHAnsi" w:cstheme="minorHAnsi"/>
        </w:rPr>
        <w:t>:</w:t>
      </w:r>
    </w:p>
    <w:p w:rsidR="00303C58" w:rsidRPr="003006D1" w:rsidRDefault="00303C58" w:rsidP="00D46469">
      <w:pPr>
        <w:pStyle w:val="Heading3"/>
        <w:numPr>
          <w:ilvl w:val="0"/>
          <w:numId w:val="0"/>
        </w:numPr>
        <w:spacing w:after="0" w:line="240" w:lineRule="auto"/>
        <w:jc w:val="both"/>
        <w:rPr>
          <w:rFonts w:asciiTheme="minorHAnsi" w:hAnsiTheme="minorHAnsi" w:cstheme="minorHAnsi"/>
        </w:rPr>
      </w:pPr>
    </w:p>
    <w:p w:rsidR="00521518" w:rsidRDefault="00521518" w:rsidP="00D46469">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 xml:space="preserve">The </w:t>
      </w:r>
      <w:r w:rsidRPr="00F27D0B">
        <w:rPr>
          <w:rFonts w:asciiTheme="minorHAnsi" w:hAnsiTheme="minorHAnsi" w:cstheme="minorHAnsi"/>
        </w:rPr>
        <w:t xml:space="preserve">Circular 32 </w:t>
      </w:r>
      <w:r w:rsidRPr="00DF3DB7">
        <w:rPr>
          <w:rFonts w:asciiTheme="minorHAnsi" w:hAnsiTheme="minorHAnsi" w:cstheme="minorHAnsi"/>
        </w:rPr>
        <w:t xml:space="preserve">restricts the legal entity regarding opening a bank payment account, which stipulates two subjects: (1) </w:t>
      </w:r>
      <w:r>
        <w:rPr>
          <w:rFonts w:asciiTheme="minorHAnsi" w:hAnsiTheme="minorHAnsi" w:cstheme="minorHAnsi"/>
        </w:rPr>
        <w:t xml:space="preserve">individuals, and (2) </w:t>
      </w:r>
      <w:r w:rsidRPr="00F27D0B">
        <w:rPr>
          <w:rFonts w:asciiTheme="minorHAnsi" w:hAnsiTheme="minorHAnsi" w:cstheme="minorHAnsi"/>
        </w:rPr>
        <w:t>enterprise established under the Enterprise Law. Since the implementation of this Circular, specific organizations such as representative offices, non-governmental organizations, business associations and other organizations ar</w:t>
      </w:r>
      <w:r>
        <w:rPr>
          <w:rFonts w:asciiTheme="minorHAnsi" w:hAnsiTheme="minorHAnsi" w:cstheme="minorHAnsi"/>
        </w:rPr>
        <w:t>e considered non-legal entities to</w:t>
      </w:r>
      <w:r w:rsidRPr="00F27D0B">
        <w:rPr>
          <w:rFonts w:asciiTheme="minorHAnsi" w:hAnsiTheme="minorHAnsi" w:cstheme="minorHAnsi"/>
        </w:rPr>
        <w:t xml:space="preserve"> open a bank account.</w:t>
      </w:r>
    </w:p>
    <w:p w:rsidR="00303C58" w:rsidRDefault="00303C58" w:rsidP="00D46469">
      <w:pPr>
        <w:pStyle w:val="Heading3"/>
        <w:numPr>
          <w:ilvl w:val="0"/>
          <w:numId w:val="0"/>
        </w:numPr>
        <w:spacing w:after="0" w:line="240" w:lineRule="auto"/>
        <w:jc w:val="both"/>
        <w:rPr>
          <w:rFonts w:asciiTheme="minorHAnsi" w:hAnsiTheme="minorHAnsi" w:cstheme="minorHAnsi"/>
        </w:rPr>
      </w:pPr>
    </w:p>
    <w:p w:rsidR="00521518" w:rsidRDefault="00521518" w:rsidP="00D46469">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 xml:space="preserve">We urge the early review of this measure to ensure normal financial operations of all forms of legal business activity. </w:t>
      </w:r>
    </w:p>
    <w:p w:rsidR="00303C58" w:rsidRPr="00355982" w:rsidRDefault="00303C58" w:rsidP="00D46469">
      <w:pPr>
        <w:pStyle w:val="Heading3"/>
        <w:numPr>
          <w:ilvl w:val="0"/>
          <w:numId w:val="0"/>
        </w:numPr>
        <w:spacing w:after="0" w:line="240" w:lineRule="auto"/>
        <w:jc w:val="both"/>
        <w:rPr>
          <w:rFonts w:asciiTheme="minorHAnsi" w:hAnsiTheme="minorHAnsi" w:cstheme="minorHAnsi"/>
        </w:rPr>
      </w:pPr>
    </w:p>
    <w:p w:rsidR="0079722C" w:rsidRPr="003006D1" w:rsidRDefault="0079722C" w:rsidP="00D46469">
      <w:pPr>
        <w:pStyle w:val="Heading2"/>
        <w:spacing w:after="0" w:line="240" w:lineRule="auto"/>
        <w:jc w:val="both"/>
        <w:rPr>
          <w:rFonts w:asciiTheme="minorHAnsi" w:hAnsiTheme="minorHAnsi" w:cstheme="minorHAnsi"/>
        </w:rPr>
      </w:pPr>
      <w:r w:rsidRPr="003006D1">
        <w:rPr>
          <w:rFonts w:asciiTheme="minorHAnsi" w:hAnsiTheme="minorHAnsi" w:cstheme="minorHAnsi"/>
        </w:rPr>
        <w:t>Investment Environment</w:t>
      </w:r>
    </w:p>
    <w:p w:rsidR="00303C58" w:rsidRDefault="00303C58" w:rsidP="00D46469">
      <w:pPr>
        <w:pStyle w:val="Heading3"/>
        <w:numPr>
          <w:ilvl w:val="0"/>
          <w:numId w:val="0"/>
        </w:numPr>
        <w:spacing w:after="0" w:line="240" w:lineRule="auto"/>
        <w:ind w:left="720" w:hanging="720"/>
        <w:jc w:val="both"/>
        <w:rPr>
          <w:rFonts w:asciiTheme="minorHAnsi" w:hAnsiTheme="minorHAnsi" w:cstheme="minorHAnsi"/>
          <w:b/>
        </w:rPr>
      </w:pPr>
    </w:p>
    <w:p w:rsidR="0079722C" w:rsidRPr="0035250C" w:rsidRDefault="0079722C" w:rsidP="00D46469">
      <w:pPr>
        <w:pStyle w:val="Heading3"/>
        <w:numPr>
          <w:ilvl w:val="0"/>
          <w:numId w:val="0"/>
        </w:numPr>
        <w:spacing w:after="0" w:line="240" w:lineRule="auto"/>
        <w:ind w:left="720" w:hanging="720"/>
        <w:jc w:val="both"/>
        <w:rPr>
          <w:rFonts w:asciiTheme="minorHAnsi" w:hAnsiTheme="minorHAnsi" w:cstheme="minorHAnsi"/>
          <w:b/>
        </w:rPr>
      </w:pPr>
      <w:r w:rsidRPr="0035250C">
        <w:rPr>
          <w:rFonts w:asciiTheme="minorHAnsi" w:hAnsiTheme="minorHAnsi" w:cstheme="minorHAnsi"/>
          <w:b/>
        </w:rPr>
        <w:t>Housing</w:t>
      </w:r>
    </w:p>
    <w:p w:rsidR="00303C58" w:rsidRDefault="00303C58" w:rsidP="00D46469">
      <w:pPr>
        <w:pStyle w:val="Heading3"/>
        <w:numPr>
          <w:ilvl w:val="0"/>
          <w:numId w:val="0"/>
        </w:numPr>
        <w:spacing w:after="0" w:line="240" w:lineRule="auto"/>
        <w:jc w:val="both"/>
        <w:rPr>
          <w:rFonts w:asciiTheme="minorHAnsi" w:hAnsiTheme="minorHAnsi" w:cstheme="minorHAnsi"/>
        </w:rPr>
      </w:pPr>
    </w:p>
    <w:p w:rsidR="00C0034D" w:rsidRDefault="0079722C" w:rsidP="00D46469">
      <w:pPr>
        <w:pStyle w:val="Heading3"/>
        <w:numPr>
          <w:ilvl w:val="0"/>
          <w:numId w:val="0"/>
        </w:numPr>
        <w:spacing w:after="0" w:line="240" w:lineRule="auto"/>
        <w:jc w:val="both"/>
        <w:rPr>
          <w:rFonts w:asciiTheme="minorHAnsi" w:hAnsiTheme="minorHAnsi" w:cstheme="minorHAnsi"/>
        </w:rPr>
      </w:pPr>
      <w:r w:rsidRPr="003006D1">
        <w:rPr>
          <w:rFonts w:asciiTheme="minorHAnsi" w:hAnsiTheme="minorHAnsi" w:cstheme="minorHAnsi"/>
        </w:rPr>
        <w:t>Everyone here is aware that Vietnam has made great progress in creating a hospitable investment environment, in which local and foreign businesspeople and their families can work in an atmosphere that is secure</w:t>
      </w:r>
      <w:r w:rsidR="00303C58">
        <w:rPr>
          <w:rFonts w:asciiTheme="minorHAnsi" w:hAnsiTheme="minorHAnsi" w:cstheme="minorHAnsi"/>
        </w:rPr>
        <w:t xml:space="preserve"> and comfortable. </w:t>
      </w:r>
      <w:r w:rsidRPr="003006D1">
        <w:rPr>
          <w:rFonts w:asciiTheme="minorHAnsi" w:hAnsiTheme="minorHAnsi" w:cstheme="minorHAnsi"/>
        </w:rPr>
        <w:t>Schools and hospital services have improved dramatically, there are more entertainment, cult</w:t>
      </w:r>
      <w:r w:rsidR="00303C58">
        <w:rPr>
          <w:rFonts w:asciiTheme="minorHAnsi" w:hAnsiTheme="minorHAnsi" w:cstheme="minorHAnsi"/>
        </w:rPr>
        <w:t xml:space="preserve">ural and recreational options. </w:t>
      </w:r>
      <w:r w:rsidRPr="003006D1">
        <w:rPr>
          <w:rFonts w:asciiTheme="minorHAnsi" w:hAnsiTheme="minorHAnsi" w:cstheme="minorHAnsi"/>
        </w:rPr>
        <w:t>One element that has proven elusive is in the area of home ownership.</w:t>
      </w:r>
      <w:r w:rsidR="00303C58">
        <w:rPr>
          <w:rFonts w:asciiTheme="minorHAnsi" w:hAnsiTheme="minorHAnsi" w:cstheme="minorHAnsi"/>
        </w:rPr>
        <w:t xml:space="preserve"> </w:t>
      </w:r>
      <w:r w:rsidR="002C0706" w:rsidRPr="003006D1">
        <w:rPr>
          <w:rFonts w:asciiTheme="minorHAnsi" w:hAnsiTheme="minorHAnsi" w:cstheme="minorHAnsi"/>
        </w:rPr>
        <w:t>Although rules have already been issued that allow limited sales of certain types of condominiums and villas to foreign buyers, implementing rules have not been followed in a timely manner and as a result there is much confusion and risk in the market.</w:t>
      </w:r>
    </w:p>
    <w:p w:rsidR="00465B62" w:rsidRDefault="00465B62" w:rsidP="00D46469">
      <w:pPr>
        <w:pStyle w:val="Heading3"/>
        <w:numPr>
          <w:ilvl w:val="0"/>
          <w:numId w:val="0"/>
        </w:numPr>
        <w:spacing w:after="0" w:line="240" w:lineRule="auto"/>
        <w:jc w:val="both"/>
        <w:rPr>
          <w:rFonts w:asciiTheme="minorHAnsi" w:hAnsiTheme="minorHAnsi" w:cstheme="minorHAnsi"/>
        </w:rPr>
      </w:pPr>
    </w:p>
    <w:p w:rsidR="00DE0BAA" w:rsidRDefault="00DE0BAA" w:rsidP="00D46469">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The biggest outstanding issue right now is the implementation of the restrictions on foreign ownership of housing in Vietnam, which affect foreign buyers' right to own houses in Vietnam for more than two years. The 2014 Housing Law, which allows foreign buyers to own houses in Vietnam, became effective on 1 July 2015; and Decree No. 99/2015/ND-</w:t>
      </w:r>
      <w:proofErr w:type="spellStart"/>
      <w:r>
        <w:rPr>
          <w:rFonts w:asciiTheme="minorHAnsi" w:hAnsiTheme="minorHAnsi" w:cstheme="minorHAnsi"/>
        </w:rPr>
        <w:t>CP</w:t>
      </w:r>
      <w:proofErr w:type="spellEnd"/>
      <w:r>
        <w:rPr>
          <w:rFonts w:asciiTheme="minorHAnsi" w:hAnsiTheme="minorHAnsi" w:cstheme="minorHAnsi"/>
        </w:rPr>
        <w:t xml:space="preserve"> ("</w:t>
      </w:r>
      <w:r w:rsidRPr="00EC5868">
        <w:rPr>
          <w:rFonts w:asciiTheme="minorHAnsi" w:hAnsiTheme="minorHAnsi" w:cstheme="minorHAnsi"/>
          <w:b/>
        </w:rPr>
        <w:t>Decree 99</w:t>
      </w:r>
      <w:r>
        <w:rPr>
          <w:rFonts w:asciiTheme="minorHAnsi" w:hAnsiTheme="minorHAnsi" w:cstheme="minorHAnsi"/>
        </w:rPr>
        <w:t>"), which specifies the mechanisms for implementing foreign buyers' right to own houses in Vietnam, became effective on 10 December 2015.</w:t>
      </w:r>
    </w:p>
    <w:p w:rsidR="00303C58" w:rsidRDefault="00303C58" w:rsidP="00D46469">
      <w:pPr>
        <w:pStyle w:val="Heading3"/>
        <w:numPr>
          <w:ilvl w:val="0"/>
          <w:numId w:val="0"/>
        </w:numPr>
        <w:spacing w:after="0" w:line="240" w:lineRule="auto"/>
        <w:ind w:left="990"/>
        <w:jc w:val="both"/>
        <w:rPr>
          <w:rFonts w:asciiTheme="minorHAnsi" w:hAnsiTheme="minorHAnsi" w:cstheme="minorHAnsi"/>
        </w:rPr>
      </w:pPr>
    </w:p>
    <w:p w:rsidR="00DE0BAA" w:rsidRDefault="00DE0BAA" w:rsidP="00D46469">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 xml:space="preserve">Decree 99 requires </w:t>
      </w:r>
      <w:r w:rsidRPr="00457F97">
        <w:rPr>
          <w:rFonts w:asciiTheme="minorHAnsi" w:hAnsiTheme="minorHAnsi" w:cstheme="minorHAnsi"/>
        </w:rPr>
        <w:t>the Ministry of Public Security (</w:t>
      </w:r>
      <w:r>
        <w:rPr>
          <w:rFonts w:asciiTheme="minorHAnsi" w:hAnsiTheme="minorHAnsi" w:cstheme="minorHAnsi"/>
        </w:rPr>
        <w:t>"</w:t>
      </w:r>
      <w:r w:rsidRPr="00457F97">
        <w:rPr>
          <w:rFonts w:asciiTheme="minorHAnsi" w:hAnsiTheme="minorHAnsi" w:cstheme="minorHAnsi"/>
          <w:b/>
          <w:bCs/>
        </w:rPr>
        <w:t>MOPS</w:t>
      </w:r>
      <w:r>
        <w:rPr>
          <w:rFonts w:asciiTheme="minorHAnsi" w:hAnsiTheme="minorHAnsi" w:cstheme="minorHAnsi"/>
        </w:rPr>
        <w:t>")</w:t>
      </w:r>
      <w:r w:rsidRPr="00457F97">
        <w:rPr>
          <w:rFonts w:asciiTheme="minorHAnsi" w:hAnsiTheme="minorHAnsi" w:cstheme="minorHAnsi"/>
        </w:rPr>
        <w:t xml:space="preserve"> and the Ministry of National Defence </w:t>
      </w:r>
      <w:r>
        <w:rPr>
          <w:rFonts w:asciiTheme="minorHAnsi" w:hAnsiTheme="minorHAnsi" w:cstheme="minorHAnsi"/>
        </w:rPr>
        <w:t>("</w:t>
      </w:r>
      <w:proofErr w:type="spellStart"/>
      <w:r w:rsidRPr="00457F97">
        <w:rPr>
          <w:rFonts w:asciiTheme="minorHAnsi" w:hAnsiTheme="minorHAnsi" w:cstheme="minorHAnsi"/>
          <w:b/>
          <w:bCs/>
        </w:rPr>
        <w:t>MOND</w:t>
      </w:r>
      <w:proofErr w:type="spellEnd"/>
      <w:r>
        <w:rPr>
          <w:rFonts w:asciiTheme="minorHAnsi" w:hAnsiTheme="minorHAnsi" w:cstheme="minorHAnsi"/>
        </w:rPr>
        <w:t xml:space="preserve">") to identify the areas that are </w:t>
      </w:r>
      <w:r w:rsidRPr="00EF5A91">
        <w:rPr>
          <w:rFonts w:asciiTheme="minorHAnsi" w:hAnsiTheme="minorHAnsi" w:cstheme="minorHAnsi"/>
        </w:rPr>
        <w:t>subject to national security and defence</w:t>
      </w:r>
      <w:r>
        <w:rPr>
          <w:rFonts w:asciiTheme="minorHAnsi" w:hAnsiTheme="minorHAnsi" w:cstheme="minorHAnsi"/>
        </w:rPr>
        <w:t xml:space="preserve"> and inform the provincial people's committees. According to the </w:t>
      </w:r>
      <w:proofErr w:type="spellStart"/>
      <w:r>
        <w:rPr>
          <w:rFonts w:asciiTheme="minorHAnsi" w:hAnsiTheme="minorHAnsi" w:cstheme="minorHAnsi"/>
        </w:rPr>
        <w:t>MOPS's</w:t>
      </w:r>
      <w:proofErr w:type="spellEnd"/>
      <w:r>
        <w:rPr>
          <w:rFonts w:asciiTheme="minorHAnsi" w:hAnsiTheme="minorHAnsi" w:cstheme="minorHAnsi"/>
        </w:rPr>
        <w:t xml:space="preserve"> official dispatch No. </w:t>
      </w:r>
      <w:r w:rsidRPr="00D16B31">
        <w:rPr>
          <w:rFonts w:asciiTheme="minorHAnsi" w:hAnsiTheme="minorHAnsi" w:cstheme="minorHAnsi"/>
        </w:rPr>
        <w:t>786/</w:t>
      </w:r>
      <w:proofErr w:type="spellStart"/>
      <w:r w:rsidRPr="00D16B31">
        <w:rPr>
          <w:rFonts w:asciiTheme="minorHAnsi" w:hAnsiTheme="minorHAnsi" w:cstheme="minorHAnsi"/>
        </w:rPr>
        <w:t>BCA-TCAN</w:t>
      </w:r>
      <w:proofErr w:type="spellEnd"/>
      <w:r w:rsidRPr="00D16B31">
        <w:rPr>
          <w:rFonts w:asciiTheme="minorHAnsi" w:hAnsiTheme="minorHAnsi" w:cstheme="minorHAnsi"/>
        </w:rPr>
        <w:t xml:space="preserve"> dated 19 April 2017</w:t>
      </w:r>
      <w:r>
        <w:rPr>
          <w:rFonts w:asciiTheme="minorHAnsi" w:hAnsiTheme="minorHAnsi" w:cstheme="minorHAnsi"/>
        </w:rPr>
        <w:t xml:space="preserve"> and the </w:t>
      </w:r>
      <w:proofErr w:type="spellStart"/>
      <w:r>
        <w:rPr>
          <w:rFonts w:asciiTheme="minorHAnsi" w:hAnsiTheme="minorHAnsi" w:cstheme="minorHAnsi"/>
        </w:rPr>
        <w:t>MOND's</w:t>
      </w:r>
      <w:proofErr w:type="spellEnd"/>
      <w:r>
        <w:rPr>
          <w:rFonts w:asciiTheme="minorHAnsi" w:hAnsiTheme="minorHAnsi" w:cstheme="minorHAnsi"/>
        </w:rPr>
        <w:t xml:space="preserve"> official dispatch No. </w:t>
      </w:r>
      <w:r w:rsidRPr="003902E8">
        <w:rPr>
          <w:rFonts w:asciiTheme="minorHAnsi" w:hAnsiTheme="minorHAnsi" w:cstheme="minorHAnsi"/>
        </w:rPr>
        <w:t>10328/</w:t>
      </w:r>
      <w:proofErr w:type="spellStart"/>
      <w:r w:rsidRPr="003902E8">
        <w:rPr>
          <w:rFonts w:asciiTheme="minorHAnsi" w:hAnsiTheme="minorHAnsi" w:cstheme="minorHAnsi"/>
        </w:rPr>
        <w:t>BQP</w:t>
      </w:r>
      <w:proofErr w:type="spellEnd"/>
      <w:r w:rsidRPr="003902E8">
        <w:rPr>
          <w:rFonts w:asciiTheme="minorHAnsi" w:hAnsiTheme="minorHAnsi" w:cstheme="minorHAnsi"/>
        </w:rPr>
        <w:t>-TM dated 19 October 2016</w:t>
      </w:r>
      <w:r>
        <w:rPr>
          <w:rFonts w:asciiTheme="minorHAnsi" w:hAnsiTheme="minorHAnsi" w:cstheme="minorHAnsi"/>
        </w:rPr>
        <w:t>, we understand that these have been done.</w:t>
      </w:r>
    </w:p>
    <w:p w:rsidR="00303C58" w:rsidRDefault="00303C58" w:rsidP="00D46469">
      <w:pPr>
        <w:pStyle w:val="Heading3"/>
        <w:numPr>
          <w:ilvl w:val="0"/>
          <w:numId w:val="0"/>
        </w:numPr>
        <w:spacing w:after="0" w:line="240" w:lineRule="auto"/>
        <w:jc w:val="both"/>
        <w:rPr>
          <w:rFonts w:asciiTheme="minorHAnsi" w:hAnsiTheme="minorHAnsi" w:cstheme="minorHAnsi"/>
        </w:rPr>
      </w:pPr>
    </w:p>
    <w:p w:rsidR="00DE0BAA" w:rsidRDefault="00DE0BAA" w:rsidP="00D46469">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 xml:space="preserve">The provincial people's committees must then base on those guidelines of the MOPS and </w:t>
      </w:r>
      <w:proofErr w:type="spellStart"/>
      <w:r>
        <w:rPr>
          <w:rFonts w:asciiTheme="minorHAnsi" w:hAnsiTheme="minorHAnsi" w:cstheme="minorHAnsi"/>
        </w:rPr>
        <w:t>MOND</w:t>
      </w:r>
      <w:proofErr w:type="spellEnd"/>
      <w:r>
        <w:rPr>
          <w:rFonts w:asciiTheme="minorHAnsi" w:hAnsiTheme="minorHAnsi" w:cstheme="minorHAnsi"/>
        </w:rPr>
        <w:t xml:space="preserve"> to instruct the provincial departments of construction to identify the commercial housing projects where foreign individuals and organizations are not allowed to own houses. In the particular case of </w:t>
      </w:r>
      <w:proofErr w:type="spellStart"/>
      <w:r>
        <w:rPr>
          <w:rFonts w:asciiTheme="minorHAnsi" w:hAnsiTheme="minorHAnsi" w:cstheme="minorHAnsi"/>
        </w:rPr>
        <w:t>Ho</w:t>
      </w:r>
      <w:proofErr w:type="spellEnd"/>
      <w:r>
        <w:rPr>
          <w:rFonts w:asciiTheme="minorHAnsi" w:hAnsiTheme="minorHAnsi" w:cstheme="minorHAnsi"/>
        </w:rPr>
        <w:t xml:space="preserve"> Chi Minh City, based on the public information, we understand that this has been done in July 2017.</w:t>
      </w:r>
    </w:p>
    <w:p w:rsidR="00303C58" w:rsidRDefault="00303C58" w:rsidP="00D46469">
      <w:pPr>
        <w:pStyle w:val="Heading3"/>
        <w:numPr>
          <w:ilvl w:val="0"/>
          <w:numId w:val="0"/>
        </w:numPr>
        <w:spacing w:after="0" w:line="240" w:lineRule="auto"/>
        <w:jc w:val="both"/>
        <w:rPr>
          <w:rFonts w:asciiTheme="minorHAnsi" w:hAnsiTheme="minorHAnsi" w:cstheme="minorHAnsi"/>
        </w:rPr>
      </w:pPr>
    </w:p>
    <w:p w:rsidR="00DE0BAA" w:rsidRDefault="00DE0BAA" w:rsidP="00D46469">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 xml:space="preserve">Those are good signs that the government is keen to move things forward. The final work of identifying </w:t>
      </w:r>
      <w:r w:rsidRPr="00192C5C">
        <w:rPr>
          <w:rFonts w:asciiTheme="minorHAnsi" w:hAnsiTheme="minorHAnsi" w:cstheme="minorHAnsi"/>
        </w:rPr>
        <w:t>commercial housing projects where foreign individuals and organizations are not allowed to own houses</w:t>
      </w:r>
      <w:r>
        <w:rPr>
          <w:rFonts w:asciiTheme="minorHAnsi" w:hAnsiTheme="minorHAnsi" w:cstheme="minorHAnsi"/>
        </w:rPr>
        <w:t>, and publishing those information online is now to be done by the</w:t>
      </w:r>
      <w:r w:rsidRPr="00133780">
        <w:rPr>
          <w:rFonts w:asciiTheme="minorHAnsi" w:hAnsiTheme="minorHAnsi" w:cstheme="minorHAnsi"/>
        </w:rPr>
        <w:t xml:space="preserve"> </w:t>
      </w:r>
      <w:r>
        <w:rPr>
          <w:rFonts w:asciiTheme="minorHAnsi" w:hAnsiTheme="minorHAnsi" w:cstheme="minorHAnsi"/>
        </w:rPr>
        <w:t>provincial departments of construction.</w:t>
      </w:r>
    </w:p>
    <w:p w:rsidR="00303C58" w:rsidRDefault="00303C58" w:rsidP="00D46469">
      <w:pPr>
        <w:pStyle w:val="Heading3"/>
        <w:numPr>
          <w:ilvl w:val="0"/>
          <w:numId w:val="0"/>
        </w:numPr>
        <w:spacing w:after="0" w:line="240" w:lineRule="auto"/>
        <w:jc w:val="both"/>
        <w:rPr>
          <w:rFonts w:asciiTheme="minorHAnsi" w:hAnsiTheme="minorHAnsi" w:cstheme="minorHAnsi"/>
        </w:rPr>
      </w:pPr>
    </w:p>
    <w:p w:rsidR="00DE0BAA" w:rsidRDefault="00DE0BAA" w:rsidP="00D46469">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However, it appears</w:t>
      </w:r>
      <w:r w:rsidRPr="00EF5A91">
        <w:rPr>
          <w:rFonts w:asciiTheme="minorHAnsi" w:hAnsiTheme="minorHAnsi" w:cstheme="minorHAnsi"/>
        </w:rPr>
        <w:t xml:space="preserve"> that no progress has been made</w:t>
      </w:r>
      <w:r>
        <w:rPr>
          <w:rFonts w:asciiTheme="minorHAnsi" w:hAnsiTheme="minorHAnsi" w:cstheme="minorHAnsi"/>
        </w:rPr>
        <w:t xml:space="preserve"> from the provincial departments of construction's side</w:t>
      </w:r>
      <w:r w:rsidRPr="00EF5A91">
        <w:rPr>
          <w:rFonts w:asciiTheme="minorHAnsi" w:hAnsiTheme="minorHAnsi" w:cstheme="minorHAnsi"/>
        </w:rPr>
        <w:t>.</w:t>
      </w:r>
      <w:r>
        <w:rPr>
          <w:rFonts w:asciiTheme="minorHAnsi" w:hAnsiTheme="minorHAnsi" w:cstheme="minorHAnsi"/>
        </w:rPr>
        <w:t xml:space="preserve"> Thus, this long delay really concerns foreign individuals and organizations who are interested in buying houses in Vietnam. We hope that t</w:t>
      </w:r>
      <w:r w:rsidRPr="00EF5A91">
        <w:rPr>
          <w:rFonts w:asciiTheme="minorHAnsi" w:hAnsiTheme="minorHAnsi" w:cstheme="minorHAnsi"/>
        </w:rPr>
        <w:t>he provincial department</w:t>
      </w:r>
      <w:r>
        <w:rPr>
          <w:rFonts w:asciiTheme="minorHAnsi" w:hAnsiTheme="minorHAnsi" w:cstheme="minorHAnsi"/>
        </w:rPr>
        <w:t>s</w:t>
      </w:r>
      <w:r w:rsidRPr="00EF5A91">
        <w:rPr>
          <w:rFonts w:asciiTheme="minorHAnsi" w:hAnsiTheme="minorHAnsi" w:cstheme="minorHAnsi"/>
        </w:rPr>
        <w:t xml:space="preserve"> of construction </w:t>
      </w:r>
      <w:r>
        <w:rPr>
          <w:rFonts w:asciiTheme="minorHAnsi" w:hAnsiTheme="minorHAnsi" w:cstheme="minorHAnsi"/>
        </w:rPr>
        <w:t>will</w:t>
      </w:r>
      <w:r w:rsidRPr="00EF5A91">
        <w:rPr>
          <w:rFonts w:asciiTheme="minorHAnsi" w:hAnsiTheme="minorHAnsi" w:cstheme="minorHAnsi"/>
        </w:rPr>
        <w:t xml:space="preserve"> work more actively and closely with other relevant authorities to resolve </w:t>
      </w:r>
      <w:r>
        <w:rPr>
          <w:rFonts w:asciiTheme="minorHAnsi" w:hAnsiTheme="minorHAnsi" w:cstheme="minorHAnsi"/>
        </w:rPr>
        <w:t>these issues</w:t>
      </w:r>
      <w:r w:rsidRPr="00EF5A91">
        <w:rPr>
          <w:rFonts w:asciiTheme="minorHAnsi" w:hAnsiTheme="minorHAnsi" w:cstheme="minorHAnsi"/>
        </w:rPr>
        <w:t xml:space="preserve"> in accordance with the instruction of the provincial people’s committee</w:t>
      </w:r>
      <w:r>
        <w:rPr>
          <w:rFonts w:asciiTheme="minorHAnsi" w:hAnsiTheme="minorHAnsi" w:cstheme="minorHAnsi"/>
        </w:rPr>
        <w:t xml:space="preserve">s. </w:t>
      </w:r>
      <w:r w:rsidRPr="00EF5A91">
        <w:rPr>
          <w:rFonts w:asciiTheme="minorHAnsi" w:hAnsiTheme="minorHAnsi" w:cstheme="minorHAnsi"/>
        </w:rPr>
        <w:t>This is the final step to finally effect foreigners’ right to buy houses in Vietnam, which was supp</w:t>
      </w:r>
      <w:r>
        <w:rPr>
          <w:rFonts w:asciiTheme="minorHAnsi" w:hAnsiTheme="minorHAnsi" w:cstheme="minorHAnsi"/>
        </w:rPr>
        <w:t>osed to be effective more than two</w:t>
      </w:r>
      <w:r w:rsidRPr="00EF5A91">
        <w:rPr>
          <w:rFonts w:asciiTheme="minorHAnsi" w:hAnsiTheme="minorHAnsi" w:cstheme="minorHAnsi"/>
        </w:rPr>
        <w:t xml:space="preserve"> years ago</w:t>
      </w:r>
      <w:r>
        <w:rPr>
          <w:rFonts w:asciiTheme="minorHAnsi" w:hAnsiTheme="minorHAnsi" w:cstheme="minorHAnsi"/>
        </w:rPr>
        <w:t>.</w:t>
      </w:r>
    </w:p>
    <w:p w:rsidR="00303C58" w:rsidRDefault="00303C58" w:rsidP="00D46469">
      <w:pPr>
        <w:pStyle w:val="Heading3"/>
        <w:numPr>
          <w:ilvl w:val="0"/>
          <w:numId w:val="0"/>
        </w:numPr>
        <w:spacing w:after="0" w:line="240" w:lineRule="auto"/>
        <w:jc w:val="both"/>
        <w:rPr>
          <w:rFonts w:asciiTheme="minorHAnsi" w:hAnsiTheme="minorHAnsi" w:cstheme="minorHAnsi"/>
        </w:rPr>
      </w:pPr>
    </w:p>
    <w:p w:rsidR="0079722C" w:rsidRDefault="00DE0BAA" w:rsidP="00D46469">
      <w:pPr>
        <w:pStyle w:val="Heading3"/>
        <w:numPr>
          <w:ilvl w:val="0"/>
          <w:numId w:val="0"/>
        </w:numPr>
        <w:spacing w:after="0" w:line="240" w:lineRule="auto"/>
        <w:jc w:val="both"/>
        <w:rPr>
          <w:rFonts w:asciiTheme="minorHAnsi" w:hAnsiTheme="minorHAnsi" w:cstheme="minorHAnsi"/>
        </w:rPr>
      </w:pPr>
      <w:r>
        <w:rPr>
          <w:rFonts w:asciiTheme="minorHAnsi" w:hAnsiTheme="minorHAnsi" w:cstheme="minorHAnsi"/>
        </w:rPr>
        <w:t>Another notable problem is the technical limitations in ownership registration. F</w:t>
      </w:r>
      <w:r w:rsidR="002C0706" w:rsidRPr="003006D1">
        <w:rPr>
          <w:rFonts w:asciiTheme="minorHAnsi" w:hAnsiTheme="minorHAnsi" w:cstheme="minorHAnsi"/>
        </w:rPr>
        <w:t>oreign ownership of condominiums in a residenti</w:t>
      </w:r>
      <w:r w:rsidR="00C0034D">
        <w:rPr>
          <w:rFonts w:asciiTheme="minorHAnsi" w:hAnsiTheme="minorHAnsi" w:cstheme="minorHAnsi"/>
        </w:rPr>
        <w:t>al tower is limited to 30%, but</w:t>
      </w:r>
      <w:r w:rsidR="002C0706" w:rsidRPr="003006D1">
        <w:rPr>
          <w:rFonts w:asciiTheme="minorHAnsi" w:hAnsiTheme="minorHAnsi" w:cstheme="minorHAnsi"/>
        </w:rPr>
        <w:t xml:space="preserve"> the Ministry of Construction and its local departments have not yet implemented the necessary system for registering and tracking the number of foreign owned apartments in a given project, so the secondary market has frozen up completely. In most provinces, there seems to be no system for changing the ownership category from local to foreign on</w:t>
      </w:r>
      <w:r w:rsidR="00AC148F">
        <w:rPr>
          <w:rFonts w:asciiTheme="minorHAnsi" w:hAnsiTheme="minorHAnsi" w:cstheme="minorHAnsi"/>
        </w:rPr>
        <w:t>c</w:t>
      </w:r>
      <w:r w:rsidR="002C0706" w:rsidRPr="003006D1">
        <w:rPr>
          <w:rFonts w:asciiTheme="minorHAnsi" w:hAnsiTheme="minorHAnsi" w:cstheme="minorHAnsi"/>
        </w:rPr>
        <w:t>e a property has been sold to a local buyer. This kind of risk only increases the cost of capital that is needed for building up Vietnam’s housing stock.</w:t>
      </w:r>
      <w:r w:rsidR="002C3A94" w:rsidRPr="003006D1">
        <w:rPr>
          <w:rFonts w:asciiTheme="minorHAnsi" w:hAnsiTheme="minorHAnsi" w:cstheme="minorHAnsi"/>
        </w:rPr>
        <w:t xml:space="preserve"> We hope that these issues can be sorted out soon so the market can start to operate normally.</w:t>
      </w:r>
    </w:p>
    <w:p w:rsidR="00DF3DB7" w:rsidRPr="003006D1" w:rsidRDefault="00DF3DB7" w:rsidP="00D46469">
      <w:pPr>
        <w:pStyle w:val="Heading3"/>
        <w:numPr>
          <w:ilvl w:val="0"/>
          <w:numId w:val="0"/>
        </w:numPr>
        <w:spacing w:after="0" w:line="240" w:lineRule="auto"/>
        <w:jc w:val="both"/>
        <w:rPr>
          <w:rFonts w:asciiTheme="minorHAnsi" w:hAnsiTheme="minorHAnsi" w:cstheme="minorHAnsi"/>
        </w:rPr>
      </w:pPr>
    </w:p>
    <w:p w:rsidR="006D2639" w:rsidRDefault="00116332" w:rsidP="00D46469">
      <w:pPr>
        <w:pStyle w:val="Heading2"/>
        <w:spacing w:after="0" w:line="240" w:lineRule="auto"/>
        <w:jc w:val="both"/>
        <w:rPr>
          <w:rFonts w:asciiTheme="minorHAnsi" w:hAnsiTheme="minorHAnsi" w:cstheme="minorHAnsi"/>
        </w:rPr>
      </w:pPr>
      <w:proofErr w:type="spellStart"/>
      <w:r w:rsidRPr="003006D1">
        <w:rPr>
          <w:rFonts w:asciiTheme="minorHAnsi" w:hAnsiTheme="minorHAnsi" w:cstheme="minorHAnsi"/>
        </w:rPr>
        <w:t>Labor</w:t>
      </w:r>
      <w:proofErr w:type="spellEnd"/>
      <w:r w:rsidR="009F6FA9" w:rsidRPr="003006D1">
        <w:rPr>
          <w:rFonts w:asciiTheme="minorHAnsi" w:hAnsiTheme="minorHAnsi" w:cstheme="minorHAnsi"/>
        </w:rPr>
        <w:t xml:space="preserve">: </w:t>
      </w:r>
      <w:r w:rsidR="006D2639" w:rsidRPr="003006D1">
        <w:rPr>
          <w:rFonts w:asciiTheme="minorHAnsi" w:hAnsiTheme="minorHAnsi" w:cstheme="minorHAnsi"/>
        </w:rPr>
        <w:t xml:space="preserve">Draft Decree on Compulsory Social Insurance for Foreign Employees Working in Vietnam </w:t>
      </w:r>
      <w:r w:rsidR="002B3CC5" w:rsidRPr="003006D1">
        <w:rPr>
          <w:rFonts w:asciiTheme="minorHAnsi" w:hAnsiTheme="minorHAnsi" w:cstheme="minorHAnsi"/>
        </w:rPr>
        <w:t>–</w:t>
      </w:r>
      <w:r w:rsidR="006D2639" w:rsidRPr="003006D1">
        <w:rPr>
          <w:rFonts w:asciiTheme="minorHAnsi" w:hAnsiTheme="minorHAnsi" w:cstheme="minorHAnsi"/>
        </w:rPr>
        <w:t xml:space="preserve"> </w:t>
      </w:r>
      <w:r w:rsidR="002B3CC5" w:rsidRPr="003006D1">
        <w:rPr>
          <w:rFonts w:asciiTheme="minorHAnsi" w:hAnsiTheme="minorHAnsi" w:cstheme="minorHAnsi"/>
        </w:rPr>
        <w:t>Concerns over Rising Employment Costs</w:t>
      </w:r>
    </w:p>
    <w:p w:rsidR="00DF3DB7" w:rsidRPr="00DF3DB7" w:rsidRDefault="00DF3DB7" w:rsidP="00D46469">
      <w:pPr>
        <w:pStyle w:val="BodyText"/>
        <w:spacing w:after="0" w:line="240" w:lineRule="auto"/>
      </w:pPr>
    </w:p>
    <w:p w:rsidR="001335CE" w:rsidRDefault="001335CE" w:rsidP="00D46469">
      <w:pPr>
        <w:pStyle w:val="BodyText"/>
        <w:spacing w:after="0" w:line="240" w:lineRule="auto"/>
        <w:jc w:val="both"/>
        <w:rPr>
          <w:rFonts w:asciiTheme="minorHAnsi" w:hAnsiTheme="minorHAnsi" w:cstheme="minorHAnsi"/>
        </w:rPr>
      </w:pPr>
      <w:r w:rsidRPr="003006D1">
        <w:rPr>
          <w:rFonts w:asciiTheme="minorHAnsi" w:hAnsiTheme="minorHAnsi" w:cstheme="minorHAnsi"/>
        </w:rPr>
        <w:t xml:space="preserve">Investors - both foreign and domestic - are concerned that the rapidly rising cost of </w:t>
      </w:r>
      <w:proofErr w:type="spellStart"/>
      <w:r w:rsidRPr="003006D1">
        <w:rPr>
          <w:rFonts w:asciiTheme="minorHAnsi" w:hAnsiTheme="minorHAnsi" w:cstheme="minorHAnsi"/>
        </w:rPr>
        <w:t>labor</w:t>
      </w:r>
      <w:proofErr w:type="spellEnd"/>
      <w:r w:rsidRPr="003006D1">
        <w:rPr>
          <w:rFonts w:asciiTheme="minorHAnsi" w:hAnsiTheme="minorHAnsi" w:cstheme="minorHAnsi"/>
        </w:rPr>
        <w:t xml:space="preserve"> may undermine Vietnam's attractiveness as an investment destination and the Government's ability to continue generating jobs for the young people coming into the </w:t>
      </w:r>
      <w:proofErr w:type="spellStart"/>
      <w:r w:rsidRPr="003006D1">
        <w:rPr>
          <w:rFonts w:asciiTheme="minorHAnsi" w:hAnsiTheme="minorHAnsi" w:cstheme="minorHAnsi"/>
        </w:rPr>
        <w:t>labor</w:t>
      </w:r>
      <w:proofErr w:type="spellEnd"/>
      <w:r w:rsidRPr="003006D1">
        <w:rPr>
          <w:rFonts w:asciiTheme="minorHAnsi" w:hAnsiTheme="minorHAnsi" w:cstheme="minorHAnsi"/>
        </w:rPr>
        <w:t xml:space="preserve"> market will be affected.</w:t>
      </w:r>
      <w:r w:rsidR="00C0034D">
        <w:rPr>
          <w:rFonts w:asciiTheme="minorHAnsi" w:hAnsiTheme="minorHAnsi" w:cstheme="minorHAnsi"/>
        </w:rPr>
        <w:t xml:space="preserve"> The chart below shows that Japanese investors are more concerned about this trend in Vietnam than almost anywhere else.</w:t>
      </w:r>
    </w:p>
    <w:p w:rsidR="00DF3DB7" w:rsidRDefault="00DF3DB7" w:rsidP="00D46469">
      <w:pPr>
        <w:pStyle w:val="BodyText"/>
        <w:spacing w:after="0" w:line="240" w:lineRule="auto"/>
        <w:jc w:val="both"/>
        <w:rPr>
          <w:rFonts w:asciiTheme="minorHAnsi" w:hAnsiTheme="minorHAnsi" w:cstheme="minorHAnsi"/>
        </w:rPr>
      </w:pPr>
    </w:p>
    <w:p w:rsidR="00C0034D" w:rsidRDefault="00C0034D" w:rsidP="00D46469">
      <w:pPr>
        <w:pStyle w:val="BodyText"/>
        <w:numPr>
          <w:ilvl w:val="0"/>
          <w:numId w:val="22"/>
        </w:numPr>
        <w:spacing w:after="0" w:line="240" w:lineRule="auto"/>
        <w:ind w:left="450"/>
        <w:jc w:val="both"/>
        <w:rPr>
          <w:rFonts w:asciiTheme="minorHAnsi" w:hAnsiTheme="minorHAnsi" w:cstheme="minorHAnsi"/>
          <w:i/>
        </w:rPr>
      </w:pPr>
      <w:r w:rsidRPr="00C0034D">
        <w:rPr>
          <w:rFonts w:asciiTheme="minorHAnsi" w:hAnsiTheme="minorHAnsi" w:cstheme="minorHAnsi"/>
          <w:i/>
        </w:rPr>
        <w:t xml:space="preserve">Proportion of Japanese enterprises responses that wages increase causes business concern (According to </w:t>
      </w:r>
      <w:proofErr w:type="spellStart"/>
      <w:r w:rsidRPr="00C0034D">
        <w:rPr>
          <w:rFonts w:asciiTheme="minorHAnsi" w:hAnsiTheme="minorHAnsi" w:cstheme="minorHAnsi"/>
          <w:i/>
        </w:rPr>
        <w:t>JETRO</w:t>
      </w:r>
      <w:proofErr w:type="spellEnd"/>
      <w:r w:rsidRPr="00C0034D">
        <w:rPr>
          <w:rFonts w:asciiTheme="minorHAnsi" w:hAnsiTheme="minorHAnsi" w:cstheme="minorHAnsi"/>
          <w:i/>
        </w:rPr>
        <w:t xml:space="preserve"> investigation in 2016):</w:t>
      </w:r>
    </w:p>
    <w:p w:rsidR="001E26B3" w:rsidRDefault="001E26B3" w:rsidP="00D46469">
      <w:pPr>
        <w:pStyle w:val="BodyText"/>
        <w:spacing w:after="0" w:line="240" w:lineRule="auto"/>
        <w:jc w:val="both"/>
        <w:rPr>
          <w:rFonts w:asciiTheme="minorHAnsi" w:hAnsiTheme="minorHAnsi" w:cstheme="minorHAnsi"/>
          <w:i/>
        </w:rPr>
      </w:pPr>
      <w:r w:rsidRPr="003006D1">
        <w:rPr>
          <w:rFonts w:asciiTheme="minorHAnsi" w:hAnsiTheme="minorHAnsi" w:cstheme="minorHAnsi"/>
          <w:noProof/>
          <w:lang w:val="en-US" w:eastAsia="en-US"/>
        </w:rPr>
        <w:drawing>
          <wp:anchor distT="0" distB="0" distL="114300" distR="114300" simplePos="0" relativeHeight="251660288" behindDoc="0" locked="0" layoutInCell="1" allowOverlap="1" wp14:anchorId="49A36ACE" wp14:editId="1D454D42">
            <wp:simplePos x="0" y="0"/>
            <wp:positionH relativeFrom="column">
              <wp:posOffset>-90643</wp:posOffset>
            </wp:positionH>
            <wp:positionV relativeFrom="paragraph">
              <wp:posOffset>70485</wp:posOffset>
            </wp:positionV>
            <wp:extent cx="6442075" cy="3117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42075" cy="3117215"/>
                    </a:xfrm>
                    <a:prstGeom prst="rect">
                      <a:avLst/>
                    </a:prstGeom>
                  </pic:spPr>
                </pic:pic>
              </a:graphicData>
            </a:graphic>
            <wp14:sizeRelH relativeFrom="page">
              <wp14:pctWidth>0</wp14:pctWidth>
            </wp14:sizeRelH>
            <wp14:sizeRelV relativeFrom="page">
              <wp14:pctHeight>0</wp14:pctHeight>
            </wp14:sizeRelV>
          </wp:anchor>
        </w:drawing>
      </w:r>
    </w:p>
    <w:p w:rsidR="00C0034D" w:rsidRPr="00C0034D" w:rsidRDefault="00C0034D" w:rsidP="00D46469">
      <w:pPr>
        <w:pStyle w:val="BodyText"/>
        <w:spacing w:after="0" w:line="240" w:lineRule="auto"/>
        <w:ind w:left="1080"/>
        <w:jc w:val="both"/>
        <w:rPr>
          <w:rFonts w:asciiTheme="minorHAnsi" w:hAnsiTheme="minorHAnsi" w:cstheme="minorHAnsi"/>
          <w:i/>
        </w:rPr>
      </w:pPr>
    </w:p>
    <w:p w:rsidR="00C0034D" w:rsidRDefault="00C0034D" w:rsidP="00D46469">
      <w:pPr>
        <w:pStyle w:val="BodyText"/>
        <w:spacing w:after="0" w:line="240" w:lineRule="auto"/>
        <w:jc w:val="both"/>
        <w:rPr>
          <w:rFonts w:asciiTheme="minorHAnsi" w:hAnsiTheme="minorHAnsi" w:cstheme="minorHAnsi"/>
          <w:i/>
        </w:rPr>
      </w:pPr>
    </w:p>
    <w:p w:rsidR="00C0034D" w:rsidRDefault="00C0034D" w:rsidP="00D46469">
      <w:pPr>
        <w:pStyle w:val="BodyText"/>
        <w:spacing w:after="0" w:line="240" w:lineRule="auto"/>
        <w:jc w:val="both"/>
        <w:rPr>
          <w:rFonts w:asciiTheme="minorHAnsi" w:hAnsiTheme="minorHAnsi" w:cstheme="minorHAnsi"/>
          <w:i/>
        </w:rPr>
      </w:pPr>
    </w:p>
    <w:p w:rsidR="00C0034D" w:rsidRPr="00C0034D" w:rsidRDefault="00C0034D" w:rsidP="00D46469">
      <w:pPr>
        <w:pStyle w:val="BodyText"/>
        <w:spacing w:after="0" w:line="240" w:lineRule="auto"/>
        <w:jc w:val="both"/>
        <w:rPr>
          <w:rFonts w:asciiTheme="minorHAnsi" w:hAnsiTheme="minorHAnsi" w:cstheme="minorHAnsi"/>
        </w:rPr>
      </w:pPr>
    </w:p>
    <w:p w:rsidR="00C0034D" w:rsidRPr="00C0034D" w:rsidRDefault="00C0034D" w:rsidP="00D46469">
      <w:pPr>
        <w:pStyle w:val="BodyText"/>
        <w:spacing w:after="0" w:line="240" w:lineRule="auto"/>
        <w:jc w:val="both"/>
        <w:rPr>
          <w:rFonts w:asciiTheme="minorHAnsi" w:hAnsiTheme="minorHAnsi" w:cstheme="minorHAnsi"/>
        </w:rPr>
      </w:pPr>
    </w:p>
    <w:p w:rsidR="00C0034D" w:rsidRDefault="00C0034D" w:rsidP="00D46469">
      <w:pPr>
        <w:pStyle w:val="BodyText"/>
        <w:spacing w:after="0" w:line="240" w:lineRule="auto"/>
        <w:jc w:val="both"/>
        <w:rPr>
          <w:rFonts w:asciiTheme="minorHAnsi" w:hAnsiTheme="minorHAnsi" w:cstheme="minorHAnsi"/>
          <w:i/>
        </w:rPr>
      </w:pPr>
    </w:p>
    <w:p w:rsidR="00C0034D" w:rsidRDefault="00C0034D" w:rsidP="00D46469">
      <w:pPr>
        <w:pStyle w:val="BodyText"/>
        <w:spacing w:after="0" w:line="240" w:lineRule="auto"/>
        <w:jc w:val="both"/>
        <w:rPr>
          <w:rFonts w:asciiTheme="minorHAnsi" w:hAnsiTheme="minorHAnsi" w:cstheme="minorHAnsi"/>
        </w:rPr>
      </w:pPr>
    </w:p>
    <w:p w:rsidR="00C0034D" w:rsidRDefault="00C0034D" w:rsidP="00D46469">
      <w:pPr>
        <w:pStyle w:val="BodyText"/>
        <w:spacing w:after="0" w:line="240" w:lineRule="auto"/>
        <w:ind w:left="360"/>
        <w:jc w:val="both"/>
        <w:rPr>
          <w:rFonts w:asciiTheme="minorHAnsi" w:hAnsiTheme="minorHAnsi" w:cstheme="minorHAnsi"/>
        </w:rPr>
      </w:pPr>
    </w:p>
    <w:p w:rsidR="00C0034D" w:rsidRPr="003006D1" w:rsidRDefault="00C0034D" w:rsidP="00D46469">
      <w:pPr>
        <w:pStyle w:val="BodyText"/>
        <w:spacing w:after="0" w:line="240" w:lineRule="auto"/>
        <w:ind w:left="360"/>
        <w:jc w:val="both"/>
        <w:rPr>
          <w:rFonts w:asciiTheme="minorHAnsi" w:hAnsiTheme="minorHAnsi" w:cstheme="minorHAnsi"/>
        </w:rPr>
      </w:pPr>
    </w:p>
    <w:p w:rsidR="00DF3DB7" w:rsidRDefault="00DF3DB7" w:rsidP="00D46469">
      <w:pPr>
        <w:pStyle w:val="BodyText"/>
        <w:spacing w:after="0" w:line="240" w:lineRule="auto"/>
        <w:ind w:left="540"/>
        <w:jc w:val="both"/>
        <w:rPr>
          <w:rFonts w:asciiTheme="minorHAnsi" w:hAnsiTheme="minorHAnsi" w:cstheme="minorHAnsi"/>
        </w:rPr>
      </w:pPr>
    </w:p>
    <w:p w:rsidR="00DF3DB7" w:rsidRDefault="00DF3DB7" w:rsidP="00D46469">
      <w:pPr>
        <w:pStyle w:val="BodyText"/>
        <w:spacing w:after="0" w:line="240" w:lineRule="auto"/>
        <w:ind w:left="540"/>
        <w:jc w:val="both"/>
        <w:rPr>
          <w:rFonts w:asciiTheme="minorHAnsi" w:hAnsiTheme="minorHAnsi" w:cstheme="minorHAnsi"/>
        </w:rPr>
      </w:pPr>
    </w:p>
    <w:p w:rsidR="00DF3DB7" w:rsidRDefault="00DF3DB7" w:rsidP="00D46469">
      <w:pPr>
        <w:pStyle w:val="BodyText"/>
        <w:spacing w:after="0" w:line="240" w:lineRule="auto"/>
        <w:ind w:left="540"/>
        <w:jc w:val="both"/>
        <w:rPr>
          <w:rFonts w:asciiTheme="minorHAnsi" w:hAnsiTheme="minorHAnsi" w:cstheme="minorHAnsi"/>
        </w:rPr>
      </w:pPr>
    </w:p>
    <w:p w:rsidR="00DF3DB7" w:rsidRDefault="00DF3DB7" w:rsidP="00D46469">
      <w:pPr>
        <w:pStyle w:val="BodyText"/>
        <w:spacing w:after="0" w:line="240" w:lineRule="auto"/>
        <w:ind w:left="540"/>
        <w:jc w:val="both"/>
        <w:rPr>
          <w:rFonts w:asciiTheme="minorHAnsi" w:hAnsiTheme="minorHAnsi" w:cstheme="minorHAnsi"/>
        </w:rPr>
      </w:pPr>
    </w:p>
    <w:p w:rsidR="00DF3DB7" w:rsidRDefault="00DF3DB7" w:rsidP="00D46469">
      <w:pPr>
        <w:pStyle w:val="BodyText"/>
        <w:spacing w:after="0" w:line="240" w:lineRule="auto"/>
        <w:ind w:left="540"/>
        <w:jc w:val="both"/>
        <w:rPr>
          <w:rFonts w:asciiTheme="minorHAnsi" w:hAnsiTheme="minorHAnsi" w:cstheme="minorHAnsi"/>
        </w:rPr>
      </w:pPr>
    </w:p>
    <w:p w:rsidR="00DF3DB7" w:rsidRDefault="00DF3DB7" w:rsidP="00D46469">
      <w:pPr>
        <w:pStyle w:val="BodyText"/>
        <w:spacing w:after="0" w:line="240" w:lineRule="auto"/>
        <w:ind w:left="540"/>
        <w:jc w:val="both"/>
        <w:rPr>
          <w:rFonts w:asciiTheme="minorHAnsi" w:hAnsiTheme="minorHAnsi" w:cstheme="minorHAnsi"/>
        </w:rPr>
      </w:pPr>
    </w:p>
    <w:p w:rsidR="00DF3DB7" w:rsidRDefault="00DF3DB7" w:rsidP="00D46469">
      <w:pPr>
        <w:pStyle w:val="BodyText"/>
        <w:spacing w:after="0" w:line="240" w:lineRule="auto"/>
        <w:ind w:left="540"/>
        <w:jc w:val="both"/>
        <w:rPr>
          <w:rFonts w:asciiTheme="minorHAnsi" w:hAnsiTheme="minorHAnsi" w:cstheme="minorHAnsi"/>
        </w:rPr>
      </w:pPr>
    </w:p>
    <w:p w:rsidR="00DF3DB7" w:rsidRDefault="00DF3DB7" w:rsidP="00D46469">
      <w:pPr>
        <w:pStyle w:val="BodyText"/>
        <w:spacing w:after="0" w:line="240" w:lineRule="auto"/>
        <w:ind w:left="540"/>
        <w:jc w:val="both"/>
        <w:rPr>
          <w:rFonts w:asciiTheme="minorHAnsi" w:hAnsiTheme="minorHAnsi" w:cstheme="minorHAnsi"/>
        </w:rPr>
      </w:pPr>
    </w:p>
    <w:p w:rsidR="00DF3DB7" w:rsidRDefault="00DF3DB7" w:rsidP="00D46469">
      <w:pPr>
        <w:pStyle w:val="BodyText"/>
        <w:spacing w:after="0" w:line="240" w:lineRule="auto"/>
        <w:ind w:left="540"/>
        <w:jc w:val="both"/>
        <w:rPr>
          <w:rFonts w:asciiTheme="minorHAnsi" w:hAnsiTheme="minorHAnsi" w:cstheme="minorHAnsi"/>
        </w:rPr>
      </w:pPr>
    </w:p>
    <w:p w:rsidR="004A587A" w:rsidRDefault="001335CE" w:rsidP="00D46469">
      <w:pPr>
        <w:pStyle w:val="BodyText"/>
        <w:spacing w:after="0" w:line="240" w:lineRule="auto"/>
        <w:jc w:val="both"/>
        <w:rPr>
          <w:rFonts w:asciiTheme="minorHAnsi" w:hAnsiTheme="minorHAnsi" w:cstheme="minorHAnsi"/>
        </w:rPr>
      </w:pPr>
      <w:r w:rsidRPr="003006D1">
        <w:rPr>
          <w:rFonts w:asciiTheme="minorHAnsi" w:hAnsiTheme="minorHAnsi" w:cstheme="minorHAnsi"/>
        </w:rPr>
        <w:t xml:space="preserve">There are a number of causes for the increase </w:t>
      </w:r>
      <w:proofErr w:type="spellStart"/>
      <w:r w:rsidRPr="003006D1">
        <w:rPr>
          <w:rFonts w:asciiTheme="minorHAnsi" w:hAnsiTheme="minorHAnsi" w:cstheme="minorHAnsi"/>
        </w:rPr>
        <w:t>labor</w:t>
      </w:r>
      <w:proofErr w:type="spellEnd"/>
      <w:r w:rsidRPr="003006D1">
        <w:rPr>
          <w:rFonts w:asciiTheme="minorHAnsi" w:hAnsiTheme="minorHAnsi" w:cstheme="minorHAnsi"/>
        </w:rPr>
        <w:t xml:space="preserve"> cost, one of which is the ever rising and expanding application of payroll taxes.  Recently, a</w:t>
      </w:r>
      <w:r w:rsidR="006D2639" w:rsidRPr="003006D1">
        <w:rPr>
          <w:rFonts w:asciiTheme="minorHAnsi" w:hAnsiTheme="minorHAnsi" w:cstheme="minorHAnsi"/>
        </w:rPr>
        <w:t xml:space="preserve"> Draft Decree detailing and guiding the implementation of the Law on Social Insurance ("Draft Decree") which the Ministry of </w:t>
      </w:r>
      <w:proofErr w:type="spellStart"/>
      <w:r w:rsidR="006D2639" w:rsidRPr="003006D1">
        <w:rPr>
          <w:rFonts w:asciiTheme="minorHAnsi" w:hAnsiTheme="minorHAnsi" w:cstheme="minorHAnsi"/>
        </w:rPr>
        <w:t>Labor</w:t>
      </w:r>
      <w:proofErr w:type="spellEnd"/>
      <w:r w:rsidR="006D2639" w:rsidRPr="003006D1">
        <w:rPr>
          <w:rFonts w:asciiTheme="minorHAnsi" w:hAnsiTheme="minorHAnsi" w:cstheme="minorHAnsi"/>
        </w:rPr>
        <w:t>, Invalids and Social Affairs ("</w:t>
      </w:r>
      <w:proofErr w:type="spellStart"/>
      <w:r w:rsidR="006D2639" w:rsidRPr="003006D1">
        <w:rPr>
          <w:rFonts w:asciiTheme="minorHAnsi" w:hAnsiTheme="minorHAnsi" w:cstheme="minorHAnsi"/>
        </w:rPr>
        <w:t>MOLISA</w:t>
      </w:r>
      <w:proofErr w:type="spellEnd"/>
      <w:r w:rsidR="006D2639" w:rsidRPr="003006D1">
        <w:rPr>
          <w:rFonts w:asciiTheme="minorHAnsi" w:hAnsiTheme="minorHAnsi" w:cstheme="minorHAnsi"/>
        </w:rPr>
        <w:t xml:space="preserve">") </w:t>
      </w:r>
      <w:r w:rsidR="002B3CC5" w:rsidRPr="003006D1">
        <w:rPr>
          <w:rFonts w:asciiTheme="minorHAnsi" w:hAnsiTheme="minorHAnsi" w:cstheme="minorHAnsi"/>
        </w:rPr>
        <w:t>was</w:t>
      </w:r>
      <w:r w:rsidR="006D2639" w:rsidRPr="003006D1">
        <w:rPr>
          <w:rFonts w:asciiTheme="minorHAnsi" w:hAnsiTheme="minorHAnsi" w:cstheme="minorHAnsi"/>
        </w:rPr>
        <w:t xml:space="preserve"> recently released for public comment</w:t>
      </w:r>
      <w:r w:rsidR="002B3CC5" w:rsidRPr="003006D1">
        <w:rPr>
          <w:rFonts w:asciiTheme="minorHAnsi" w:hAnsiTheme="minorHAnsi" w:cstheme="minorHAnsi"/>
        </w:rPr>
        <w:t>.  It</w:t>
      </w:r>
      <w:r w:rsidR="006D2639" w:rsidRPr="003006D1">
        <w:rPr>
          <w:rFonts w:asciiTheme="minorHAnsi" w:hAnsiTheme="minorHAnsi" w:cstheme="minorHAnsi"/>
        </w:rPr>
        <w:t xml:space="preserve"> provides that from January 1 2018, compulsory social insurance will apply to foreign employees working in Vietnam. This requirement will increase the employment costs for companies doing businesses in Vietnam</w:t>
      </w:r>
      <w:r w:rsidR="002B3CC5" w:rsidRPr="003006D1">
        <w:rPr>
          <w:rFonts w:asciiTheme="minorHAnsi" w:hAnsiTheme="minorHAnsi" w:cstheme="minorHAnsi"/>
        </w:rPr>
        <w:t>, and we are concerned that it is part of a greater trend towards higher employment costs that will undermine the competitiveness of the overall economy</w:t>
      </w:r>
      <w:r w:rsidR="006D2639" w:rsidRPr="003006D1">
        <w:rPr>
          <w:rFonts w:asciiTheme="minorHAnsi" w:hAnsiTheme="minorHAnsi" w:cstheme="minorHAnsi"/>
        </w:rPr>
        <w:t xml:space="preserve">. </w:t>
      </w:r>
    </w:p>
    <w:p w:rsidR="00DF3DB7" w:rsidRPr="003006D1" w:rsidRDefault="00DF3DB7" w:rsidP="00D46469">
      <w:pPr>
        <w:pStyle w:val="BodyText"/>
        <w:spacing w:after="0" w:line="240" w:lineRule="auto"/>
        <w:jc w:val="both"/>
        <w:rPr>
          <w:rFonts w:asciiTheme="minorHAnsi" w:hAnsiTheme="minorHAnsi" w:cstheme="minorHAnsi"/>
        </w:rPr>
      </w:pPr>
    </w:p>
    <w:p w:rsidR="006D2639" w:rsidRPr="003006D1" w:rsidRDefault="006D2639" w:rsidP="00D46469">
      <w:pPr>
        <w:pStyle w:val="BodyText"/>
        <w:spacing w:after="0" w:line="240" w:lineRule="auto"/>
        <w:jc w:val="both"/>
        <w:rPr>
          <w:rFonts w:asciiTheme="minorHAnsi" w:hAnsiTheme="minorHAnsi" w:cstheme="minorHAnsi"/>
        </w:rPr>
      </w:pPr>
      <w:r w:rsidRPr="003006D1">
        <w:rPr>
          <w:rFonts w:asciiTheme="minorHAnsi" w:hAnsiTheme="minorHAnsi" w:cstheme="minorHAnsi"/>
        </w:rPr>
        <w:t>According to this Draft Decree foreign employees and their employers will be subject to compulsory social insurance contribution. This include</w:t>
      </w:r>
      <w:r w:rsidR="00465B62">
        <w:rPr>
          <w:rFonts w:asciiTheme="minorHAnsi" w:hAnsiTheme="minorHAnsi" w:cstheme="minorHAnsi"/>
        </w:rPr>
        <w:t>s</w:t>
      </w:r>
      <w:r w:rsidRPr="003006D1">
        <w:rPr>
          <w:rFonts w:asciiTheme="minorHAnsi" w:hAnsiTheme="minorHAnsi" w:cstheme="minorHAnsi"/>
        </w:rPr>
        <w:t xml:space="preserve"> foreign employees who:</w:t>
      </w:r>
    </w:p>
    <w:p w:rsidR="006D2639" w:rsidRPr="003006D1" w:rsidRDefault="006D2639" w:rsidP="00D46469">
      <w:pPr>
        <w:pStyle w:val="BodyText"/>
        <w:numPr>
          <w:ilvl w:val="0"/>
          <w:numId w:val="11"/>
        </w:numPr>
        <w:spacing w:after="0" w:line="240" w:lineRule="auto"/>
        <w:ind w:left="360"/>
        <w:jc w:val="both"/>
        <w:rPr>
          <w:rFonts w:asciiTheme="minorHAnsi" w:hAnsiTheme="minorHAnsi" w:cstheme="minorHAnsi"/>
        </w:rPr>
      </w:pPr>
      <w:r w:rsidRPr="003006D1">
        <w:rPr>
          <w:rFonts w:asciiTheme="minorHAnsi" w:hAnsiTheme="minorHAnsi" w:cstheme="minorHAnsi"/>
        </w:rPr>
        <w:t xml:space="preserve">are working in Vietnam under indefinite-term </w:t>
      </w:r>
      <w:proofErr w:type="spellStart"/>
      <w:r w:rsidRPr="003006D1">
        <w:rPr>
          <w:rFonts w:asciiTheme="minorHAnsi" w:hAnsiTheme="minorHAnsi" w:cstheme="minorHAnsi"/>
        </w:rPr>
        <w:t>labor</w:t>
      </w:r>
      <w:proofErr w:type="spellEnd"/>
      <w:r w:rsidRPr="003006D1">
        <w:rPr>
          <w:rFonts w:asciiTheme="minorHAnsi" w:hAnsiTheme="minorHAnsi" w:cstheme="minorHAnsi"/>
        </w:rPr>
        <w:t xml:space="preserve"> contracts, definite-term </w:t>
      </w:r>
      <w:proofErr w:type="spellStart"/>
      <w:r w:rsidRPr="003006D1">
        <w:rPr>
          <w:rFonts w:asciiTheme="minorHAnsi" w:hAnsiTheme="minorHAnsi" w:cstheme="minorHAnsi"/>
        </w:rPr>
        <w:t>labor</w:t>
      </w:r>
      <w:proofErr w:type="spellEnd"/>
      <w:r w:rsidRPr="003006D1">
        <w:rPr>
          <w:rFonts w:asciiTheme="minorHAnsi" w:hAnsiTheme="minorHAnsi" w:cstheme="minorHAnsi"/>
        </w:rPr>
        <w:t xml:space="preserve"> contracts, or seasonal or specific job contracts with durations of more than one (1) full month with employers based in Vietnam, and</w:t>
      </w:r>
    </w:p>
    <w:p w:rsidR="006D2639" w:rsidRPr="003006D1" w:rsidRDefault="006D2639" w:rsidP="00D46469">
      <w:pPr>
        <w:pStyle w:val="BodyText"/>
        <w:numPr>
          <w:ilvl w:val="0"/>
          <w:numId w:val="11"/>
        </w:numPr>
        <w:spacing w:after="0" w:line="240" w:lineRule="auto"/>
        <w:ind w:left="360"/>
        <w:jc w:val="both"/>
        <w:rPr>
          <w:rFonts w:asciiTheme="minorHAnsi" w:hAnsiTheme="minorHAnsi" w:cstheme="minorHAnsi"/>
        </w:rPr>
      </w:pPr>
      <w:proofErr w:type="gramStart"/>
      <w:r w:rsidRPr="003006D1">
        <w:rPr>
          <w:rFonts w:asciiTheme="minorHAnsi" w:hAnsiTheme="minorHAnsi" w:cstheme="minorHAnsi"/>
        </w:rPr>
        <w:t>have</w:t>
      </w:r>
      <w:proofErr w:type="gramEnd"/>
      <w:r w:rsidRPr="003006D1">
        <w:rPr>
          <w:rFonts w:asciiTheme="minorHAnsi" w:hAnsiTheme="minorHAnsi" w:cstheme="minorHAnsi"/>
        </w:rPr>
        <w:t xml:space="preserve"> been granted either (</w:t>
      </w:r>
      <w:proofErr w:type="spellStart"/>
      <w:r w:rsidRPr="003006D1">
        <w:rPr>
          <w:rFonts w:asciiTheme="minorHAnsi" w:hAnsiTheme="minorHAnsi" w:cstheme="minorHAnsi"/>
        </w:rPr>
        <w:t>i</w:t>
      </w:r>
      <w:proofErr w:type="spellEnd"/>
      <w:r w:rsidRPr="003006D1">
        <w:rPr>
          <w:rFonts w:asciiTheme="minorHAnsi" w:hAnsiTheme="minorHAnsi" w:cstheme="minorHAnsi"/>
        </w:rPr>
        <w:t>) a work permit ("</w:t>
      </w:r>
      <w:proofErr w:type="spellStart"/>
      <w:r w:rsidRPr="003006D1">
        <w:rPr>
          <w:rFonts w:asciiTheme="minorHAnsi" w:hAnsiTheme="minorHAnsi" w:cstheme="minorHAnsi"/>
        </w:rPr>
        <w:t>giấy</w:t>
      </w:r>
      <w:proofErr w:type="spellEnd"/>
      <w:r w:rsidRPr="003006D1">
        <w:rPr>
          <w:rFonts w:asciiTheme="minorHAnsi" w:hAnsiTheme="minorHAnsi" w:cstheme="minorHAnsi"/>
        </w:rPr>
        <w:t xml:space="preserve"> </w:t>
      </w:r>
      <w:proofErr w:type="spellStart"/>
      <w:r w:rsidRPr="003006D1">
        <w:rPr>
          <w:rFonts w:asciiTheme="minorHAnsi" w:hAnsiTheme="minorHAnsi" w:cstheme="minorHAnsi"/>
        </w:rPr>
        <w:t>phép</w:t>
      </w:r>
      <w:proofErr w:type="spellEnd"/>
      <w:r w:rsidRPr="003006D1">
        <w:rPr>
          <w:rFonts w:asciiTheme="minorHAnsi" w:hAnsiTheme="minorHAnsi" w:cstheme="minorHAnsi"/>
        </w:rPr>
        <w:t xml:space="preserve"> </w:t>
      </w:r>
      <w:proofErr w:type="spellStart"/>
      <w:r w:rsidRPr="003006D1">
        <w:rPr>
          <w:rFonts w:asciiTheme="minorHAnsi" w:hAnsiTheme="minorHAnsi" w:cstheme="minorHAnsi"/>
        </w:rPr>
        <w:t>lao</w:t>
      </w:r>
      <w:proofErr w:type="spellEnd"/>
      <w:r w:rsidRPr="003006D1">
        <w:rPr>
          <w:rFonts w:asciiTheme="minorHAnsi" w:hAnsiTheme="minorHAnsi" w:cstheme="minorHAnsi"/>
        </w:rPr>
        <w:t xml:space="preserve"> </w:t>
      </w:r>
      <w:proofErr w:type="spellStart"/>
      <w:r w:rsidRPr="003006D1">
        <w:rPr>
          <w:rFonts w:asciiTheme="minorHAnsi" w:hAnsiTheme="minorHAnsi" w:cstheme="minorHAnsi"/>
        </w:rPr>
        <w:t>động</w:t>
      </w:r>
      <w:proofErr w:type="spellEnd"/>
      <w:r w:rsidRPr="003006D1">
        <w:rPr>
          <w:rFonts w:asciiTheme="minorHAnsi" w:hAnsiTheme="minorHAnsi" w:cstheme="minorHAnsi"/>
        </w:rPr>
        <w:t>" in Vietnamese), (ii) practicing certificate ("</w:t>
      </w:r>
      <w:proofErr w:type="spellStart"/>
      <w:r w:rsidRPr="003006D1">
        <w:rPr>
          <w:rFonts w:asciiTheme="minorHAnsi" w:hAnsiTheme="minorHAnsi" w:cstheme="minorHAnsi"/>
        </w:rPr>
        <w:t>chứng</w:t>
      </w:r>
      <w:proofErr w:type="spellEnd"/>
      <w:r w:rsidRPr="003006D1">
        <w:rPr>
          <w:rFonts w:asciiTheme="minorHAnsi" w:hAnsiTheme="minorHAnsi" w:cstheme="minorHAnsi"/>
        </w:rPr>
        <w:t xml:space="preserve"> </w:t>
      </w:r>
      <w:proofErr w:type="spellStart"/>
      <w:r w:rsidRPr="003006D1">
        <w:rPr>
          <w:rFonts w:asciiTheme="minorHAnsi" w:hAnsiTheme="minorHAnsi" w:cstheme="minorHAnsi"/>
        </w:rPr>
        <w:t>chỉ</w:t>
      </w:r>
      <w:proofErr w:type="spellEnd"/>
      <w:r w:rsidRPr="003006D1">
        <w:rPr>
          <w:rFonts w:asciiTheme="minorHAnsi" w:hAnsiTheme="minorHAnsi" w:cstheme="minorHAnsi"/>
        </w:rPr>
        <w:t xml:space="preserve"> </w:t>
      </w:r>
      <w:proofErr w:type="spellStart"/>
      <w:r w:rsidRPr="003006D1">
        <w:rPr>
          <w:rFonts w:asciiTheme="minorHAnsi" w:hAnsiTheme="minorHAnsi" w:cstheme="minorHAnsi"/>
        </w:rPr>
        <w:t>hành</w:t>
      </w:r>
      <w:proofErr w:type="spellEnd"/>
      <w:r w:rsidRPr="003006D1">
        <w:rPr>
          <w:rFonts w:asciiTheme="minorHAnsi" w:hAnsiTheme="minorHAnsi" w:cstheme="minorHAnsi"/>
        </w:rPr>
        <w:t xml:space="preserve"> </w:t>
      </w:r>
      <w:proofErr w:type="spellStart"/>
      <w:r w:rsidRPr="003006D1">
        <w:rPr>
          <w:rFonts w:asciiTheme="minorHAnsi" w:hAnsiTheme="minorHAnsi" w:cstheme="minorHAnsi"/>
        </w:rPr>
        <w:t>nghề</w:t>
      </w:r>
      <w:proofErr w:type="spellEnd"/>
      <w:r w:rsidRPr="003006D1">
        <w:rPr>
          <w:rFonts w:asciiTheme="minorHAnsi" w:hAnsiTheme="minorHAnsi" w:cstheme="minorHAnsi"/>
        </w:rPr>
        <w:t>" in Vietnamese) or (iii) practicing licence ("</w:t>
      </w:r>
      <w:proofErr w:type="spellStart"/>
      <w:r w:rsidRPr="003006D1">
        <w:rPr>
          <w:rFonts w:asciiTheme="minorHAnsi" w:hAnsiTheme="minorHAnsi" w:cstheme="minorHAnsi"/>
        </w:rPr>
        <w:t>giấy</w:t>
      </w:r>
      <w:proofErr w:type="spellEnd"/>
      <w:r w:rsidRPr="003006D1">
        <w:rPr>
          <w:rFonts w:asciiTheme="minorHAnsi" w:hAnsiTheme="minorHAnsi" w:cstheme="minorHAnsi"/>
        </w:rPr>
        <w:t xml:space="preserve"> </w:t>
      </w:r>
      <w:proofErr w:type="spellStart"/>
      <w:r w:rsidRPr="003006D1">
        <w:rPr>
          <w:rFonts w:asciiTheme="minorHAnsi" w:hAnsiTheme="minorHAnsi" w:cstheme="minorHAnsi"/>
        </w:rPr>
        <w:t>phép</w:t>
      </w:r>
      <w:proofErr w:type="spellEnd"/>
      <w:r w:rsidRPr="003006D1">
        <w:rPr>
          <w:rFonts w:asciiTheme="minorHAnsi" w:hAnsiTheme="minorHAnsi" w:cstheme="minorHAnsi"/>
        </w:rPr>
        <w:t xml:space="preserve"> </w:t>
      </w:r>
      <w:proofErr w:type="spellStart"/>
      <w:r w:rsidRPr="003006D1">
        <w:rPr>
          <w:rFonts w:asciiTheme="minorHAnsi" w:hAnsiTheme="minorHAnsi" w:cstheme="minorHAnsi"/>
        </w:rPr>
        <w:t>hành</w:t>
      </w:r>
      <w:proofErr w:type="spellEnd"/>
      <w:r w:rsidRPr="003006D1">
        <w:rPr>
          <w:rFonts w:asciiTheme="minorHAnsi" w:hAnsiTheme="minorHAnsi" w:cstheme="minorHAnsi"/>
        </w:rPr>
        <w:t xml:space="preserve"> </w:t>
      </w:r>
      <w:proofErr w:type="spellStart"/>
      <w:r w:rsidRPr="003006D1">
        <w:rPr>
          <w:rFonts w:asciiTheme="minorHAnsi" w:hAnsiTheme="minorHAnsi" w:cstheme="minorHAnsi"/>
        </w:rPr>
        <w:t>nghề</w:t>
      </w:r>
      <w:proofErr w:type="spellEnd"/>
      <w:r w:rsidRPr="003006D1">
        <w:rPr>
          <w:rFonts w:asciiTheme="minorHAnsi" w:hAnsiTheme="minorHAnsi" w:cstheme="minorHAnsi"/>
        </w:rPr>
        <w:t xml:space="preserve">" in Vietnamese). </w:t>
      </w:r>
    </w:p>
    <w:p w:rsidR="00DF3DB7" w:rsidRDefault="00DF3DB7" w:rsidP="00D46469">
      <w:pPr>
        <w:pStyle w:val="BodyText"/>
        <w:spacing w:after="0" w:line="240" w:lineRule="auto"/>
        <w:jc w:val="both"/>
        <w:rPr>
          <w:rFonts w:asciiTheme="minorHAnsi" w:hAnsiTheme="minorHAnsi" w:cstheme="minorHAnsi"/>
        </w:rPr>
      </w:pPr>
    </w:p>
    <w:p w:rsidR="001E0B8A" w:rsidRDefault="006D2639" w:rsidP="00D46469">
      <w:pPr>
        <w:pStyle w:val="BodyText"/>
        <w:spacing w:after="0" w:line="240" w:lineRule="auto"/>
        <w:jc w:val="both"/>
        <w:rPr>
          <w:rFonts w:asciiTheme="minorHAnsi" w:hAnsiTheme="minorHAnsi" w:cstheme="minorHAnsi"/>
        </w:rPr>
      </w:pPr>
      <w:r w:rsidRPr="003006D1">
        <w:rPr>
          <w:rFonts w:asciiTheme="minorHAnsi" w:hAnsiTheme="minorHAnsi" w:cstheme="minorHAnsi"/>
        </w:rPr>
        <w:t xml:space="preserve">The Draft Decree proposes that foreign employees </w:t>
      </w:r>
      <w:r w:rsidR="002B3CC5" w:rsidRPr="003006D1">
        <w:rPr>
          <w:rFonts w:asciiTheme="minorHAnsi" w:hAnsiTheme="minorHAnsi" w:cstheme="minorHAnsi"/>
        </w:rPr>
        <w:t xml:space="preserve">working in Vietnam </w:t>
      </w:r>
      <w:r w:rsidRPr="003006D1">
        <w:rPr>
          <w:rFonts w:asciiTheme="minorHAnsi" w:hAnsiTheme="minorHAnsi" w:cstheme="minorHAnsi"/>
        </w:rPr>
        <w:t xml:space="preserve">will be </w:t>
      </w:r>
      <w:r w:rsidR="002B3CC5" w:rsidRPr="003006D1">
        <w:rPr>
          <w:rFonts w:asciiTheme="minorHAnsi" w:hAnsiTheme="minorHAnsi" w:cstheme="minorHAnsi"/>
        </w:rPr>
        <w:t xml:space="preserve">required to pay into </w:t>
      </w:r>
      <w:r w:rsidRPr="003006D1">
        <w:rPr>
          <w:rFonts w:asciiTheme="minorHAnsi" w:hAnsiTheme="minorHAnsi" w:cstheme="minorHAnsi"/>
        </w:rPr>
        <w:t xml:space="preserve">all five regimes of the Vietnamese compulsory social insurance, which are currently applicable </w:t>
      </w:r>
      <w:r w:rsidR="002B3CC5" w:rsidRPr="003006D1">
        <w:rPr>
          <w:rFonts w:asciiTheme="minorHAnsi" w:hAnsiTheme="minorHAnsi" w:cstheme="minorHAnsi"/>
        </w:rPr>
        <w:t xml:space="preserve">only </w:t>
      </w:r>
      <w:r w:rsidRPr="003006D1">
        <w:rPr>
          <w:rFonts w:asciiTheme="minorHAnsi" w:hAnsiTheme="minorHAnsi" w:cstheme="minorHAnsi"/>
        </w:rPr>
        <w:t>to Vietnamese employees, namely: (</w:t>
      </w:r>
      <w:proofErr w:type="spellStart"/>
      <w:r w:rsidRPr="003006D1">
        <w:rPr>
          <w:rFonts w:asciiTheme="minorHAnsi" w:hAnsiTheme="minorHAnsi" w:cstheme="minorHAnsi"/>
        </w:rPr>
        <w:t>i</w:t>
      </w:r>
      <w:proofErr w:type="spellEnd"/>
      <w:r w:rsidRPr="003006D1">
        <w:rPr>
          <w:rFonts w:asciiTheme="minorHAnsi" w:hAnsiTheme="minorHAnsi" w:cstheme="minorHAnsi"/>
        </w:rPr>
        <w:t xml:space="preserve">) sickness, (ii) maternity, (iii) </w:t>
      </w:r>
      <w:proofErr w:type="spellStart"/>
      <w:r w:rsidRPr="003006D1">
        <w:rPr>
          <w:rFonts w:asciiTheme="minorHAnsi" w:hAnsiTheme="minorHAnsi" w:cstheme="minorHAnsi"/>
        </w:rPr>
        <w:t>labor</w:t>
      </w:r>
      <w:proofErr w:type="spellEnd"/>
      <w:r w:rsidRPr="003006D1">
        <w:rPr>
          <w:rFonts w:asciiTheme="minorHAnsi" w:hAnsiTheme="minorHAnsi" w:cstheme="minorHAnsi"/>
        </w:rPr>
        <w:t xml:space="preserve"> accident and occupational disease, (iv) retirement and (v) survivorship allowance. The contribution rates imposed on both employers and foreign employees will be the same as applicable for Vietnamese employees; specifically 8% from the employees and 18% from the employers, respectively, based on their actual monthly salaries </w:t>
      </w:r>
      <w:r w:rsidR="002B3CC5" w:rsidRPr="003006D1">
        <w:rPr>
          <w:rFonts w:asciiTheme="minorHAnsi" w:hAnsiTheme="minorHAnsi" w:cstheme="minorHAnsi"/>
        </w:rPr>
        <w:t xml:space="preserve">and benefits, and </w:t>
      </w:r>
      <w:r w:rsidRPr="003006D1">
        <w:rPr>
          <w:rFonts w:asciiTheme="minorHAnsi" w:hAnsiTheme="minorHAnsi" w:cstheme="minorHAnsi"/>
        </w:rPr>
        <w:t xml:space="preserve">capped at 20 times of the applicable General Minimum Wage. </w:t>
      </w:r>
    </w:p>
    <w:p w:rsidR="00DF3DB7" w:rsidRDefault="00DF3DB7" w:rsidP="00D46469">
      <w:pPr>
        <w:pStyle w:val="BodyText"/>
        <w:spacing w:after="0" w:line="240" w:lineRule="auto"/>
        <w:jc w:val="both"/>
        <w:rPr>
          <w:rFonts w:cstheme="minorHAnsi"/>
          <w:szCs w:val="22"/>
        </w:rPr>
      </w:pPr>
    </w:p>
    <w:p w:rsidR="00E936C8" w:rsidRDefault="002B3CC5" w:rsidP="00D46469">
      <w:pPr>
        <w:pStyle w:val="BodyText"/>
        <w:spacing w:after="0" w:line="240" w:lineRule="auto"/>
        <w:jc w:val="both"/>
        <w:rPr>
          <w:rFonts w:asciiTheme="minorHAnsi" w:hAnsiTheme="minorHAnsi" w:cstheme="minorHAnsi"/>
        </w:rPr>
      </w:pPr>
      <w:r w:rsidRPr="003006D1">
        <w:rPr>
          <w:rFonts w:asciiTheme="minorHAnsi" w:hAnsiTheme="minorHAnsi" w:cstheme="minorHAnsi"/>
        </w:rPr>
        <w:t>According to the Draft Decree, t</w:t>
      </w:r>
      <w:r w:rsidR="006D2639" w:rsidRPr="003006D1">
        <w:rPr>
          <w:rFonts w:asciiTheme="minorHAnsi" w:hAnsiTheme="minorHAnsi" w:cstheme="minorHAnsi"/>
        </w:rPr>
        <w:t xml:space="preserve">he processes and procedures for foreign employees’ participation in the Vietnamese compulsory social insurance regimes would not be different from the current procedures applicable to Vietnamese employees, which </w:t>
      </w:r>
      <w:r w:rsidRPr="003006D1">
        <w:rPr>
          <w:rFonts w:asciiTheme="minorHAnsi" w:hAnsiTheme="minorHAnsi" w:cstheme="minorHAnsi"/>
        </w:rPr>
        <w:t>are</w:t>
      </w:r>
      <w:r w:rsidR="006D2639" w:rsidRPr="003006D1">
        <w:rPr>
          <w:rFonts w:asciiTheme="minorHAnsi" w:hAnsiTheme="minorHAnsi" w:cstheme="minorHAnsi"/>
        </w:rPr>
        <w:t xml:space="preserve"> </w:t>
      </w:r>
      <w:r w:rsidRPr="003006D1">
        <w:rPr>
          <w:rFonts w:asciiTheme="minorHAnsi" w:hAnsiTheme="minorHAnsi" w:cstheme="minorHAnsi"/>
        </w:rPr>
        <w:t>provided for</w:t>
      </w:r>
      <w:r w:rsidR="006D2639" w:rsidRPr="003006D1">
        <w:rPr>
          <w:rFonts w:asciiTheme="minorHAnsi" w:hAnsiTheme="minorHAnsi" w:cstheme="minorHAnsi"/>
        </w:rPr>
        <w:t xml:space="preserve"> under the 2014 Law on Social Insurance. </w:t>
      </w:r>
      <w:r w:rsidRPr="003006D1">
        <w:rPr>
          <w:rFonts w:asciiTheme="minorHAnsi" w:hAnsiTheme="minorHAnsi" w:cstheme="minorHAnsi"/>
        </w:rPr>
        <w:t>The Draft Decree provides some d</w:t>
      </w:r>
      <w:r w:rsidR="006D2639" w:rsidRPr="003006D1">
        <w:rPr>
          <w:rFonts w:asciiTheme="minorHAnsi" w:hAnsiTheme="minorHAnsi" w:cstheme="minorHAnsi"/>
        </w:rPr>
        <w:t xml:space="preserve">etails on </w:t>
      </w:r>
      <w:r w:rsidRPr="003006D1">
        <w:rPr>
          <w:rFonts w:asciiTheme="minorHAnsi" w:hAnsiTheme="minorHAnsi" w:cstheme="minorHAnsi"/>
        </w:rPr>
        <w:t xml:space="preserve">the contents of </w:t>
      </w:r>
      <w:r w:rsidR="006D2639" w:rsidRPr="003006D1">
        <w:rPr>
          <w:rFonts w:asciiTheme="minorHAnsi" w:hAnsiTheme="minorHAnsi" w:cstheme="minorHAnsi"/>
        </w:rPr>
        <w:t>dossiers for the foreign employees' participation</w:t>
      </w:r>
      <w:r w:rsidRPr="003006D1">
        <w:rPr>
          <w:rFonts w:asciiTheme="minorHAnsi" w:hAnsiTheme="minorHAnsi" w:cstheme="minorHAnsi"/>
        </w:rPr>
        <w:t xml:space="preserve"> in the scheme, but there are concerns about how accessible the regime will be when those who pay in need to claim their benefits</w:t>
      </w:r>
      <w:r w:rsidR="006D2639" w:rsidRPr="003006D1">
        <w:rPr>
          <w:rFonts w:asciiTheme="minorHAnsi" w:hAnsiTheme="minorHAnsi" w:cstheme="minorHAnsi"/>
        </w:rPr>
        <w:t xml:space="preserve">. </w:t>
      </w:r>
    </w:p>
    <w:p w:rsidR="00DF3DB7" w:rsidRDefault="00DF3DB7" w:rsidP="00D46469">
      <w:pPr>
        <w:pStyle w:val="BodyText"/>
        <w:spacing w:after="0" w:line="240" w:lineRule="auto"/>
        <w:jc w:val="both"/>
        <w:rPr>
          <w:rFonts w:asciiTheme="minorHAnsi" w:hAnsiTheme="minorHAnsi" w:cstheme="minorHAnsi"/>
        </w:rPr>
      </w:pPr>
    </w:p>
    <w:p w:rsidR="00535124" w:rsidRPr="003006D1" w:rsidRDefault="006D2639" w:rsidP="00D46469">
      <w:pPr>
        <w:pStyle w:val="BodyText"/>
        <w:spacing w:after="0" w:line="240" w:lineRule="auto"/>
        <w:jc w:val="both"/>
        <w:rPr>
          <w:rFonts w:asciiTheme="minorHAnsi" w:hAnsiTheme="minorHAnsi" w:cstheme="minorHAnsi"/>
        </w:rPr>
      </w:pPr>
      <w:r w:rsidRPr="003006D1">
        <w:rPr>
          <w:rFonts w:asciiTheme="minorHAnsi" w:hAnsiTheme="minorHAnsi" w:cstheme="minorHAnsi"/>
        </w:rPr>
        <w:t xml:space="preserve">The Draft Decree and the Proposal Statement introducing it, address some of the concerns that will arise. </w:t>
      </w:r>
      <w:r w:rsidR="002B3CC5" w:rsidRPr="003006D1">
        <w:rPr>
          <w:rFonts w:asciiTheme="minorHAnsi" w:hAnsiTheme="minorHAnsi" w:cstheme="minorHAnsi"/>
        </w:rPr>
        <w:t>For example</w:t>
      </w:r>
      <w:r w:rsidRPr="003006D1">
        <w:rPr>
          <w:rFonts w:asciiTheme="minorHAnsi" w:hAnsiTheme="minorHAnsi" w:cstheme="minorHAnsi"/>
        </w:rPr>
        <w:t xml:space="preserve">, the Proposal Statement provides that the accumulation of periods of social insurance premium contribution is not regulated in this Draft Decree, and this principle will be applicable only to the nationals whose countries have signed bilateral agreements with Vietnam on this matter. This </w:t>
      </w:r>
      <w:r w:rsidR="002B3CC5" w:rsidRPr="003006D1">
        <w:rPr>
          <w:rFonts w:asciiTheme="minorHAnsi" w:hAnsiTheme="minorHAnsi" w:cstheme="minorHAnsi"/>
        </w:rPr>
        <w:t>seems to be</w:t>
      </w:r>
      <w:r w:rsidRPr="003006D1">
        <w:rPr>
          <w:rFonts w:asciiTheme="minorHAnsi" w:hAnsiTheme="minorHAnsi" w:cstheme="minorHAnsi"/>
        </w:rPr>
        <w:t xml:space="preserve"> because of the difficulties of calculating contribution periods when the foreign employees work in many different countries. In addition, foreign employees subject to this Draft Decree would be entitled to a lump-sum social insurance allowance upon their request in case their </w:t>
      </w:r>
      <w:proofErr w:type="spellStart"/>
      <w:r w:rsidRPr="003006D1">
        <w:rPr>
          <w:rFonts w:asciiTheme="minorHAnsi" w:hAnsiTheme="minorHAnsi" w:cstheme="minorHAnsi"/>
        </w:rPr>
        <w:t>labor</w:t>
      </w:r>
      <w:proofErr w:type="spellEnd"/>
      <w:r w:rsidRPr="003006D1">
        <w:rPr>
          <w:rFonts w:asciiTheme="minorHAnsi" w:hAnsiTheme="minorHAnsi" w:cstheme="minorHAnsi"/>
        </w:rPr>
        <w:t xml:space="preserve"> contracts or work permits expire and they do not continue working under the contracts or extend their work permits. The foreign employees </w:t>
      </w:r>
      <w:r w:rsidR="002B3CC5" w:rsidRPr="003006D1">
        <w:rPr>
          <w:rFonts w:asciiTheme="minorHAnsi" w:hAnsiTheme="minorHAnsi" w:cstheme="minorHAnsi"/>
        </w:rPr>
        <w:t>are supposed to</w:t>
      </w:r>
      <w:r w:rsidRPr="003006D1">
        <w:rPr>
          <w:rFonts w:asciiTheme="minorHAnsi" w:hAnsiTheme="minorHAnsi" w:cstheme="minorHAnsi"/>
        </w:rPr>
        <w:t xml:space="preserve"> make their requests within 30 days prior to the expiry date of their contracts or work permits (the earlier date would be applicable), and the insurance authority </w:t>
      </w:r>
      <w:r w:rsidR="002B3CC5" w:rsidRPr="003006D1">
        <w:rPr>
          <w:rFonts w:asciiTheme="minorHAnsi" w:hAnsiTheme="minorHAnsi" w:cstheme="minorHAnsi"/>
        </w:rPr>
        <w:t>is supposed to</w:t>
      </w:r>
      <w:r w:rsidRPr="003006D1">
        <w:rPr>
          <w:rFonts w:asciiTheme="minorHAnsi" w:hAnsiTheme="minorHAnsi" w:cstheme="minorHAnsi"/>
        </w:rPr>
        <w:t xml:space="preserve"> be responsible for settling and paying the allowance to the employees within 10 days upon the date of the receipt of proper requests. The calculation of the lump-sum social insurance allowance applicable to foreign employees would be the same as what is currently applicable to Vietnamese employees according to the Law on Social Insurance.</w:t>
      </w:r>
      <w:r w:rsidR="002B3CC5" w:rsidRPr="003006D1">
        <w:rPr>
          <w:rFonts w:asciiTheme="minorHAnsi" w:hAnsiTheme="minorHAnsi" w:cstheme="minorHAnsi"/>
        </w:rPr>
        <w:t xml:space="preserve">  However, any foreign employee who has ever tried to claim benefits under the health insurance scheme will already know that it may well be practically impossible to realize the benefits he/she has paid for until many unexpected administrative procedures are resolved.</w:t>
      </w:r>
    </w:p>
    <w:p w:rsidR="00DF3DB7" w:rsidRDefault="00DF3DB7" w:rsidP="00D46469">
      <w:pPr>
        <w:pStyle w:val="BodyText"/>
        <w:spacing w:after="0" w:line="240" w:lineRule="auto"/>
        <w:jc w:val="both"/>
        <w:rPr>
          <w:rFonts w:asciiTheme="minorHAnsi" w:hAnsiTheme="minorHAnsi" w:cstheme="minorHAnsi"/>
        </w:rPr>
      </w:pPr>
    </w:p>
    <w:p w:rsidR="006D2639" w:rsidRDefault="006D2639" w:rsidP="00D46469">
      <w:pPr>
        <w:pStyle w:val="BodyText"/>
        <w:spacing w:after="0" w:line="240" w:lineRule="auto"/>
        <w:jc w:val="both"/>
        <w:rPr>
          <w:rFonts w:asciiTheme="minorHAnsi" w:hAnsiTheme="minorHAnsi" w:cstheme="minorHAnsi"/>
        </w:rPr>
      </w:pPr>
      <w:r w:rsidRPr="003006D1">
        <w:rPr>
          <w:rFonts w:asciiTheme="minorHAnsi" w:hAnsiTheme="minorHAnsi" w:cstheme="minorHAnsi"/>
        </w:rPr>
        <w:t xml:space="preserve">To assess the </w:t>
      </w:r>
      <w:r w:rsidR="002B3CC5" w:rsidRPr="003006D1">
        <w:rPr>
          <w:rFonts w:asciiTheme="minorHAnsi" w:hAnsiTheme="minorHAnsi" w:cstheme="minorHAnsi"/>
        </w:rPr>
        <w:t xml:space="preserve">financial </w:t>
      </w:r>
      <w:r w:rsidRPr="003006D1">
        <w:rPr>
          <w:rFonts w:asciiTheme="minorHAnsi" w:hAnsiTheme="minorHAnsi" w:cstheme="minorHAnsi"/>
        </w:rPr>
        <w:t xml:space="preserve">impact of the Draft Decree, below </w:t>
      </w:r>
      <w:r w:rsidR="002B3CC5" w:rsidRPr="003006D1">
        <w:rPr>
          <w:rFonts w:asciiTheme="minorHAnsi" w:hAnsiTheme="minorHAnsi" w:cstheme="minorHAnsi"/>
        </w:rPr>
        <w:t xml:space="preserve">is </w:t>
      </w:r>
      <w:r w:rsidRPr="003006D1">
        <w:rPr>
          <w:rFonts w:asciiTheme="minorHAnsi" w:hAnsiTheme="minorHAnsi" w:cstheme="minorHAnsi"/>
        </w:rPr>
        <w:t xml:space="preserve">a table </w:t>
      </w:r>
      <w:r w:rsidR="002B3CC5" w:rsidRPr="003006D1">
        <w:rPr>
          <w:rFonts w:asciiTheme="minorHAnsi" w:hAnsiTheme="minorHAnsi" w:cstheme="minorHAnsi"/>
        </w:rPr>
        <w:t>that</w:t>
      </w:r>
      <w:r w:rsidRPr="003006D1">
        <w:rPr>
          <w:rFonts w:asciiTheme="minorHAnsi" w:hAnsiTheme="minorHAnsi" w:cstheme="minorHAnsi"/>
        </w:rPr>
        <w:t xml:space="preserve"> calculate</w:t>
      </w:r>
      <w:r w:rsidR="002B3CC5" w:rsidRPr="003006D1">
        <w:rPr>
          <w:rFonts w:asciiTheme="minorHAnsi" w:hAnsiTheme="minorHAnsi" w:cstheme="minorHAnsi"/>
        </w:rPr>
        <w:t>s</w:t>
      </w:r>
      <w:r w:rsidRPr="003006D1">
        <w:rPr>
          <w:rFonts w:asciiTheme="minorHAnsi" w:hAnsiTheme="minorHAnsi" w:cstheme="minorHAnsi"/>
        </w:rPr>
        <w:t xml:space="preserve"> how much the change would cost </w:t>
      </w:r>
      <w:r w:rsidR="002B3CC5" w:rsidRPr="003006D1">
        <w:rPr>
          <w:rFonts w:asciiTheme="minorHAnsi" w:hAnsiTheme="minorHAnsi" w:cstheme="minorHAnsi"/>
        </w:rPr>
        <w:t>a</w:t>
      </w:r>
      <w:r w:rsidRPr="003006D1">
        <w:rPr>
          <w:rFonts w:asciiTheme="minorHAnsi" w:hAnsiTheme="minorHAnsi" w:cstheme="minorHAnsi"/>
        </w:rPr>
        <w:t xml:space="preserve"> business, using the current applicable General Minimum Wage and Regional Minimum Wage:</w:t>
      </w:r>
    </w:p>
    <w:p w:rsidR="00DF3DB7" w:rsidRDefault="00DF3DB7" w:rsidP="00D46469">
      <w:pPr>
        <w:pStyle w:val="BodyText"/>
        <w:spacing w:after="0" w:line="240" w:lineRule="auto"/>
        <w:jc w:val="both"/>
        <w:rPr>
          <w:rFonts w:asciiTheme="minorHAnsi" w:hAnsiTheme="minorHAnsi" w:cstheme="minorHAnsi"/>
        </w:rPr>
      </w:pPr>
    </w:p>
    <w:tbl>
      <w:tblPr>
        <w:tblW w:w="4352" w:type="pct"/>
        <w:tblInd w:w="1043" w:type="dxa"/>
        <w:tblCellMar>
          <w:left w:w="0" w:type="dxa"/>
          <w:right w:w="0" w:type="dxa"/>
        </w:tblCellMar>
        <w:tblLook w:val="04A0" w:firstRow="1" w:lastRow="0" w:firstColumn="1" w:lastColumn="0" w:noHBand="0" w:noVBand="1"/>
      </w:tblPr>
      <w:tblGrid>
        <w:gridCol w:w="2060"/>
        <w:gridCol w:w="1516"/>
        <w:gridCol w:w="1701"/>
        <w:gridCol w:w="1516"/>
        <w:gridCol w:w="1502"/>
      </w:tblGrid>
      <w:tr w:rsidR="006D2639" w:rsidRPr="003006D1" w:rsidTr="00E032C7">
        <w:tc>
          <w:tcPr>
            <w:tcW w:w="1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Year</w:t>
            </w:r>
          </w:p>
        </w:tc>
        <w:tc>
          <w:tcPr>
            <w:tcW w:w="193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2018</w:t>
            </w:r>
          </w:p>
        </w:tc>
        <w:tc>
          <w:tcPr>
            <w:tcW w:w="18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2018</w:t>
            </w:r>
          </w:p>
        </w:tc>
      </w:tr>
      <w:tr w:rsidR="006D2639" w:rsidRPr="003006D1" w:rsidTr="00E032C7">
        <w:tc>
          <w:tcPr>
            <w:tcW w:w="1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Contributors</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6D2639" w:rsidRPr="003006D1" w:rsidRDefault="006D2639" w:rsidP="00D46469">
            <w:pPr>
              <w:ind w:left="360"/>
              <w:jc w:val="both"/>
              <w:rPr>
                <w:rFonts w:asciiTheme="minorHAnsi" w:hAnsiTheme="minorHAnsi" w:cstheme="minorHAnsi"/>
              </w:rPr>
            </w:pPr>
            <w:r w:rsidRPr="003006D1">
              <w:rPr>
                <w:rFonts w:asciiTheme="minorHAnsi" w:hAnsiTheme="minorHAnsi" w:cstheme="minorHAnsi"/>
              </w:rPr>
              <w:t>Employer</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Vietnamese employee</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6D2639" w:rsidRPr="003006D1" w:rsidRDefault="006D2639" w:rsidP="00D46469">
            <w:pPr>
              <w:ind w:left="360"/>
              <w:jc w:val="both"/>
              <w:rPr>
                <w:rFonts w:asciiTheme="minorHAnsi" w:hAnsiTheme="minorHAnsi" w:cstheme="minorHAnsi"/>
              </w:rPr>
            </w:pPr>
            <w:r w:rsidRPr="003006D1">
              <w:rPr>
                <w:rFonts w:asciiTheme="minorHAnsi" w:hAnsiTheme="minorHAnsi" w:cstheme="minorHAnsi"/>
              </w:rPr>
              <w:t>Employer</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Foreign employee</w:t>
            </w:r>
          </w:p>
        </w:tc>
      </w:tr>
      <w:tr w:rsidR="006D2639" w:rsidRPr="003006D1" w:rsidTr="00E032C7">
        <w:tc>
          <w:tcPr>
            <w:tcW w:w="12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 xml:space="preserve">Social insurance </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6D2639" w:rsidRPr="003006D1" w:rsidRDefault="006D2639" w:rsidP="00D46469">
            <w:pPr>
              <w:ind w:left="360"/>
              <w:jc w:val="both"/>
              <w:rPr>
                <w:rFonts w:asciiTheme="minorHAnsi" w:hAnsiTheme="minorHAnsi" w:cstheme="minorHAnsi"/>
              </w:rPr>
            </w:pPr>
            <w:r w:rsidRPr="003006D1">
              <w:rPr>
                <w:rFonts w:asciiTheme="minorHAnsi" w:hAnsiTheme="minorHAnsi" w:cstheme="minorHAnsi"/>
              </w:rPr>
              <w:t>18%</w:t>
            </w:r>
          </w:p>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8%</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6D2639" w:rsidRPr="003006D1" w:rsidRDefault="006D2639" w:rsidP="00D46469">
            <w:pPr>
              <w:ind w:left="360"/>
              <w:jc w:val="both"/>
              <w:rPr>
                <w:rFonts w:asciiTheme="minorHAnsi" w:hAnsiTheme="minorHAnsi" w:cstheme="minorHAnsi"/>
              </w:rPr>
            </w:pPr>
            <w:r w:rsidRPr="003006D1">
              <w:rPr>
                <w:rFonts w:asciiTheme="minorHAnsi" w:hAnsiTheme="minorHAnsi" w:cstheme="minorHAnsi"/>
              </w:rPr>
              <w:t>18%</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8%</w:t>
            </w:r>
          </w:p>
        </w:tc>
      </w:tr>
      <w:tr w:rsidR="006D2639" w:rsidRPr="003006D1" w:rsidTr="00E032C7">
        <w:tc>
          <w:tcPr>
            <w:tcW w:w="12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Unemployment insurance</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6D2639" w:rsidRPr="003006D1" w:rsidRDefault="006D2639" w:rsidP="00D46469">
            <w:pPr>
              <w:ind w:left="360"/>
              <w:jc w:val="both"/>
              <w:rPr>
                <w:rFonts w:asciiTheme="minorHAnsi" w:hAnsiTheme="minorHAnsi" w:cstheme="minorHAnsi"/>
              </w:rPr>
            </w:pPr>
            <w:r w:rsidRPr="003006D1">
              <w:rPr>
                <w:rFonts w:asciiTheme="minorHAnsi" w:hAnsiTheme="minorHAnsi" w:cstheme="minorHAnsi"/>
              </w:rPr>
              <w:t>1%</w:t>
            </w:r>
          </w:p>
        </w:tc>
        <w:tc>
          <w:tcPr>
            <w:tcW w:w="1025" w:type="pct"/>
            <w:tcBorders>
              <w:top w:val="nil"/>
              <w:left w:val="nil"/>
              <w:bottom w:val="single" w:sz="8" w:space="0" w:color="auto"/>
              <w:right w:val="single" w:sz="8" w:space="0" w:color="auto"/>
            </w:tcBorders>
            <w:tcMar>
              <w:top w:w="0" w:type="dxa"/>
              <w:left w:w="108" w:type="dxa"/>
              <w:bottom w:w="0" w:type="dxa"/>
              <w:right w:w="108" w:type="dxa"/>
            </w:tcMar>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1%</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6D2639" w:rsidRPr="003006D1" w:rsidRDefault="006D2639" w:rsidP="00D46469">
            <w:pPr>
              <w:ind w:left="360"/>
              <w:jc w:val="both"/>
              <w:rPr>
                <w:rFonts w:asciiTheme="minorHAnsi" w:hAnsiTheme="minorHAnsi" w:cstheme="minorHAnsi"/>
              </w:rPr>
            </w:pPr>
            <w:r w:rsidRPr="003006D1">
              <w:rPr>
                <w:rFonts w:asciiTheme="minorHAnsi" w:hAnsiTheme="minorHAnsi" w:cstheme="minorHAnsi"/>
              </w:rPr>
              <w:t>[N/A]</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[N/A]</w:t>
            </w:r>
          </w:p>
        </w:tc>
      </w:tr>
      <w:tr w:rsidR="006D2639" w:rsidRPr="003006D1" w:rsidTr="00E032C7">
        <w:tc>
          <w:tcPr>
            <w:tcW w:w="1242"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 xml:space="preserve">Health insurance </w:t>
            </w:r>
          </w:p>
        </w:tc>
        <w:tc>
          <w:tcPr>
            <w:tcW w:w="914" w:type="pct"/>
            <w:tcBorders>
              <w:top w:val="nil"/>
              <w:left w:val="nil"/>
              <w:bottom w:val="single" w:sz="4" w:space="0" w:color="auto"/>
              <w:right w:val="single" w:sz="8" w:space="0" w:color="auto"/>
            </w:tcBorders>
            <w:tcMar>
              <w:top w:w="0" w:type="dxa"/>
              <w:left w:w="108" w:type="dxa"/>
              <w:bottom w:w="0" w:type="dxa"/>
              <w:right w:w="108" w:type="dxa"/>
            </w:tcMar>
          </w:tcPr>
          <w:p w:rsidR="006D2639" w:rsidRPr="003006D1" w:rsidRDefault="006D2639" w:rsidP="00D46469">
            <w:pPr>
              <w:ind w:left="360"/>
              <w:jc w:val="both"/>
              <w:rPr>
                <w:rFonts w:asciiTheme="minorHAnsi" w:hAnsiTheme="minorHAnsi" w:cstheme="minorHAnsi"/>
              </w:rPr>
            </w:pPr>
            <w:r w:rsidRPr="003006D1">
              <w:rPr>
                <w:rFonts w:asciiTheme="minorHAnsi" w:hAnsiTheme="minorHAnsi" w:cstheme="minorHAnsi"/>
              </w:rPr>
              <w:t>3%</w:t>
            </w:r>
          </w:p>
        </w:tc>
        <w:tc>
          <w:tcPr>
            <w:tcW w:w="1025" w:type="pct"/>
            <w:tcBorders>
              <w:top w:val="nil"/>
              <w:left w:val="nil"/>
              <w:bottom w:val="single" w:sz="4" w:space="0" w:color="auto"/>
              <w:right w:val="single" w:sz="8" w:space="0" w:color="auto"/>
            </w:tcBorders>
            <w:tcMar>
              <w:top w:w="0" w:type="dxa"/>
              <w:left w:w="108" w:type="dxa"/>
              <w:bottom w:w="0" w:type="dxa"/>
              <w:right w:w="108" w:type="dxa"/>
            </w:tcMar>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1.5%</w:t>
            </w:r>
          </w:p>
        </w:tc>
        <w:tc>
          <w:tcPr>
            <w:tcW w:w="914" w:type="pct"/>
            <w:tcBorders>
              <w:top w:val="nil"/>
              <w:left w:val="nil"/>
              <w:bottom w:val="single" w:sz="4" w:space="0" w:color="auto"/>
              <w:right w:val="single" w:sz="8" w:space="0" w:color="auto"/>
            </w:tcBorders>
            <w:tcMar>
              <w:top w:w="0" w:type="dxa"/>
              <w:left w:w="108" w:type="dxa"/>
              <w:bottom w:w="0" w:type="dxa"/>
              <w:right w:w="108" w:type="dxa"/>
            </w:tcMar>
          </w:tcPr>
          <w:p w:rsidR="006D2639" w:rsidRPr="003006D1" w:rsidRDefault="006D2639" w:rsidP="00D46469">
            <w:pPr>
              <w:ind w:left="360"/>
              <w:jc w:val="both"/>
              <w:rPr>
                <w:rFonts w:asciiTheme="minorHAnsi" w:hAnsiTheme="minorHAnsi" w:cstheme="minorHAnsi"/>
              </w:rPr>
            </w:pPr>
            <w:r w:rsidRPr="003006D1">
              <w:rPr>
                <w:rFonts w:asciiTheme="minorHAnsi" w:hAnsiTheme="minorHAnsi" w:cstheme="minorHAnsi"/>
              </w:rPr>
              <w:t>3%</w:t>
            </w:r>
          </w:p>
        </w:tc>
        <w:tc>
          <w:tcPr>
            <w:tcW w:w="905" w:type="pct"/>
            <w:tcBorders>
              <w:top w:val="nil"/>
              <w:left w:val="nil"/>
              <w:bottom w:val="single" w:sz="4" w:space="0" w:color="auto"/>
              <w:right w:val="single" w:sz="8" w:space="0" w:color="auto"/>
            </w:tcBorders>
            <w:tcMar>
              <w:top w:w="0" w:type="dxa"/>
              <w:left w:w="108" w:type="dxa"/>
              <w:bottom w:w="0" w:type="dxa"/>
              <w:right w:w="108" w:type="dxa"/>
            </w:tcMar>
          </w:tcPr>
          <w:p w:rsidR="006D2639" w:rsidRPr="003006D1" w:rsidRDefault="006D2639" w:rsidP="00D46469">
            <w:pPr>
              <w:autoSpaceDE w:val="0"/>
              <w:autoSpaceDN w:val="0"/>
              <w:ind w:left="360"/>
              <w:jc w:val="both"/>
              <w:rPr>
                <w:rFonts w:asciiTheme="minorHAnsi" w:hAnsiTheme="minorHAnsi" w:cstheme="minorHAnsi"/>
              </w:rPr>
            </w:pPr>
            <w:r w:rsidRPr="003006D1">
              <w:rPr>
                <w:rFonts w:asciiTheme="minorHAnsi" w:hAnsiTheme="minorHAnsi" w:cstheme="minorHAnsi"/>
              </w:rPr>
              <w:t>1.5%</w:t>
            </w:r>
          </w:p>
        </w:tc>
      </w:tr>
    </w:tbl>
    <w:p w:rsidR="00DF3DB7" w:rsidRDefault="00DF3DB7" w:rsidP="00D46469">
      <w:pPr>
        <w:pStyle w:val="BodyText"/>
        <w:spacing w:after="0" w:line="240" w:lineRule="auto"/>
        <w:ind w:left="360"/>
        <w:jc w:val="both"/>
        <w:rPr>
          <w:rFonts w:asciiTheme="minorHAnsi" w:hAnsiTheme="minorHAnsi" w:cstheme="minorHAnsi"/>
        </w:rPr>
      </w:pPr>
    </w:p>
    <w:p w:rsidR="006D2639" w:rsidRPr="003006D1" w:rsidRDefault="006D2639" w:rsidP="00D46469">
      <w:pPr>
        <w:pStyle w:val="BodyText"/>
        <w:spacing w:after="0" w:line="240" w:lineRule="auto"/>
        <w:jc w:val="both"/>
        <w:rPr>
          <w:rFonts w:asciiTheme="minorHAnsi" w:hAnsiTheme="minorHAnsi" w:cstheme="minorHAnsi"/>
        </w:rPr>
      </w:pPr>
      <w:r w:rsidRPr="003006D1">
        <w:rPr>
          <w:rFonts w:asciiTheme="minorHAnsi" w:hAnsiTheme="minorHAnsi" w:cstheme="minorHAnsi"/>
        </w:rPr>
        <w:t xml:space="preserve">This scenario assumes: </w:t>
      </w:r>
    </w:p>
    <w:p w:rsidR="00DF3DB7" w:rsidRDefault="006D2639" w:rsidP="00D46469">
      <w:pPr>
        <w:pStyle w:val="BodyText"/>
        <w:numPr>
          <w:ilvl w:val="0"/>
          <w:numId w:val="11"/>
        </w:numPr>
        <w:spacing w:after="0" w:line="240" w:lineRule="auto"/>
        <w:ind w:left="360"/>
        <w:jc w:val="both"/>
        <w:rPr>
          <w:rFonts w:asciiTheme="minorHAnsi" w:hAnsiTheme="minorHAnsi" w:cstheme="minorHAnsi"/>
        </w:rPr>
      </w:pPr>
      <w:r w:rsidRPr="003006D1">
        <w:rPr>
          <w:rFonts w:asciiTheme="minorHAnsi" w:hAnsiTheme="minorHAnsi" w:cstheme="minorHAnsi"/>
        </w:rPr>
        <w:t xml:space="preserve">Social insurance and health insurance are calculated based on actual monthly salary capped at </w:t>
      </w:r>
      <w:proofErr w:type="spellStart"/>
      <w:r w:rsidRPr="003006D1">
        <w:rPr>
          <w:rFonts w:asciiTheme="minorHAnsi" w:hAnsiTheme="minorHAnsi" w:cstheme="minorHAnsi"/>
        </w:rPr>
        <w:t>VND24.2</w:t>
      </w:r>
      <w:proofErr w:type="spellEnd"/>
      <w:r w:rsidRPr="003006D1">
        <w:rPr>
          <w:rFonts w:asciiTheme="minorHAnsi" w:hAnsiTheme="minorHAnsi" w:cstheme="minorHAnsi"/>
        </w:rPr>
        <w:t xml:space="preserve"> million (approximately </w:t>
      </w:r>
      <w:proofErr w:type="spellStart"/>
      <w:r w:rsidRPr="003006D1">
        <w:rPr>
          <w:rFonts w:asciiTheme="minorHAnsi" w:hAnsiTheme="minorHAnsi" w:cstheme="minorHAnsi"/>
        </w:rPr>
        <w:t>US$1,100</w:t>
      </w:r>
      <w:proofErr w:type="spellEnd"/>
      <w:r w:rsidRPr="003006D1">
        <w:rPr>
          <w:rFonts w:asciiTheme="minorHAnsi" w:hAnsiTheme="minorHAnsi" w:cstheme="minorHAnsi"/>
        </w:rPr>
        <w:t>),  being 20 times of the current General Minimum Wage, which</w:t>
      </w:r>
      <w:r w:rsidR="00116332" w:rsidRPr="003006D1">
        <w:rPr>
          <w:rFonts w:asciiTheme="minorHAnsi" w:hAnsiTheme="minorHAnsi" w:cstheme="minorHAnsi"/>
        </w:rPr>
        <w:t xml:space="preserve"> is </w:t>
      </w:r>
      <w:proofErr w:type="spellStart"/>
      <w:r w:rsidR="00116332" w:rsidRPr="003006D1">
        <w:rPr>
          <w:rFonts w:asciiTheme="minorHAnsi" w:hAnsiTheme="minorHAnsi" w:cstheme="minorHAnsi"/>
        </w:rPr>
        <w:t>VND1.21</w:t>
      </w:r>
      <w:proofErr w:type="spellEnd"/>
      <w:r w:rsidR="00116332" w:rsidRPr="003006D1">
        <w:rPr>
          <w:rFonts w:asciiTheme="minorHAnsi" w:hAnsiTheme="minorHAnsi" w:cstheme="minorHAnsi"/>
        </w:rPr>
        <w:t xml:space="preserve"> million at present;</w:t>
      </w:r>
    </w:p>
    <w:p w:rsidR="00116332" w:rsidRPr="003006D1" w:rsidRDefault="00116332" w:rsidP="00D46469">
      <w:pPr>
        <w:pStyle w:val="BodyText"/>
        <w:spacing w:after="0" w:line="240" w:lineRule="auto"/>
        <w:ind w:left="360"/>
        <w:jc w:val="both"/>
        <w:rPr>
          <w:rFonts w:asciiTheme="minorHAnsi" w:hAnsiTheme="minorHAnsi" w:cstheme="minorHAnsi"/>
        </w:rPr>
      </w:pPr>
    </w:p>
    <w:p w:rsidR="006D2639" w:rsidRPr="003006D1" w:rsidRDefault="006D2639" w:rsidP="00D46469">
      <w:pPr>
        <w:pStyle w:val="BodyText"/>
        <w:numPr>
          <w:ilvl w:val="0"/>
          <w:numId w:val="11"/>
        </w:numPr>
        <w:spacing w:after="0" w:line="240" w:lineRule="auto"/>
        <w:ind w:left="360"/>
        <w:jc w:val="both"/>
        <w:rPr>
          <w:rFonts w:asciiTheme="minorHAnsi" w:hAnsiTheme="minorHAnsi" w:cstheme="minorHAnsi"/>
        </w:rPr>
      </w:pPr>
      <w:r w:rsidRPr="003006D1">
        <w:rPr>
          <w:rFonts w:asciiTheme="minorHAnsi" w:hAnsiTheme="minorHAnsi" w:cstheme="minorHAnsi"/>
        </w:rPr>
        <w:t xml:space="preserve">Unemployment insurance is calculated based on actual monthly salary capped at </w:t>
      </w:r>
      <w:proofErr w:type="spellStart"/>
      <w:r w:rsidRPr="003006D1">
        <w:rPr>
          <w:rFonts w:asciiTheme="minorHAnsi" w:hAnsiTheme="minorHAnsi" w:cstheme="minorHAnsi"/>
        </w:rPr>
        <w:t>VND52</w:t>
      </w:r>
      <w:proofErr w:type="spellEnd"/>
      <w:r w:rsidRPr="003006D1">
        <w:rPr>
          <w:rFonts w:asciiTheme="minorHAnsi" w:hAnsiTheme="minorHAnsi" w:cstheme="minorHAnsi"/>
        </w:rPr>
        <w:t xml:space="preserve"> million to 75 million (approximately </w:t>
      </w:r>
      <w:proofErr w:type="spellStart"/>
      <w:r w:rsidRPr="003006D1">
        <w:rPr>
          <w:rFonts w:asciiTheme="minorHAnsi" w:hAnsiTheme="minorHAnsi" w:cstheme="minorHAnsi"/>
        </w:rPr>
        <w:t>US$2,400</w:t>
      </w:r>
      <w:proofErr w:type="spellEnd"/>
      <w:r w:rsidRPr="003006D1">
        <w:rPr>
          <w:rFonts w:asciiTheme="minorHAnsi" w:hAnsiTheme="minorHAnsi" w:cstheme="minorHAnsi"/>
        </w:rPr>
        <w:t xml:space="preserve"> to 3,400), meaning 20 times of the Regional Minimum Wage,  which ranges from </w:t>
      </w:r>
      <w:proofErr w:type="spellStart"/>
      <w:r w:rsidRPr="003006D1">
        <w:rPr>
          <w:rFonts w:asciiTheme="minorHAnsi" w:hAnsiTheme="minorHAnsi" w:cstheme="minorHAnsi"/>
        </w:rPr>
        <w:t>VND2.58</w:t>
      </w:r>
      <w:proofErr w:type="spellEnd"/>
      <w:r w:rsidRPr="003006D1">
        <w:rPr>
          <w:rFonts w:asciiTheme="minorHAnsi" w:hAnsiTheme="minorHAnsi" w:cstheme="minorHAnsi"/>
        </w:rPr>
        <w:t xml:space="preserve"> million to </w:t>
      </w:r>
      <w:proofErr w:type="spellStart"/>
      <w:r w:rsidRPr="003006D1">
        <w:rPr>
          <w:rFonts w:asciiTheme="minorHAnsi" w:hAnsiTheme="minorHAnsi" w:cstheme="minorHAnsi"/>
        </w:rPr>
        <w:t>VND3.75</w:t>
      </w:r>
      <w:proofErr w:type="spellEnd"/>
      <w:r w:rsidRPr="003006D1">
        <w:rPr>
          <w:rFonts w:asciiTheme="minorHAnsi" w:hAnsiTheme="minorHAnsi" w:cstheme="minorHAnsi"/>
        </w:rPr>
        <w:t xml:space="preserve"> million, depending on the regions, at present. </w:t>
      </w:r>
    </w:p>
    <w:p w:rsidR="00DF3DB7" w:rsidRDefault="00DF3DB7" w:rsidP="00D46469">
      <w:pPr>
        <w:pStyle w:val="BodyText"/>
        <w:spacing w:after="0" w:line="240" w:lineRule="auto"/>
        <w:jc w:val="both"/>
        <w:rPr>
          <w:rFonts w:asciiTheme="minorHAnsi" w:hAnsiTheme="minorHAnsi" w:cstheme="minorHAnsi"/>
        </w:rPr>
      </w:pPr>
    </w:p>
    <w:p w:rsidR="006D2639" w:rsidRDefault="006D2639" w:rsidP="00D46469">
      <w:pPr>
        <w:pStyle w:val="BodyText"/>
        <w:spacing w:after="0" w:line="240" w:lineRule="auto"/>
        <w:jc w:val="both"/>
        <w:rPr>
          <w:rFonts w:asciiTheme="minorHAnsi" w:hAnsiTheme="minorHAnsi" w:cstheme="minorHAnsi"/>
        </w:rPr>
      </w:pPr>
      <w:r w:rsidRPr="003006D1">
        <w:rPr>
          <w:rFonts w:asciiTheme="minorHAnsi" w:hAnsiTheme="minorHAnsi" w:cstheme="minorHAnsi"/>
        </w:rPr>
        <w:t xml:space="preserve">To illustrate, the chart below shows the actual costs of employment in regards to the total contribution to the three social insurance funds at four levels of wages for an employer based in </w:t>
      </w:r>
      <w:proofErr w:type="spellStart"/>
      <w:r w:rsidRPr="003006D1">
        <w:rPr>
          <w:rFonts w:asciiTheme="minorHAnsi" w:hAnsiTheme="minorHAnsi" w:cstheme="minorHAnsi"/>
        </w:rPr>
        <w:t>Ho</w:t>
      </w:r>
      <w:proofErr w:type="spellEnd"/>
      <w:r w:rsidRPr="003006D1">
        <w:rPr>
          <w:rFonts w:asciiTheme="minorHAnsi" w:hAnsiTheme="minorHAnsi" w:cstheme="minorHAnsi"/>
        </w:rPr>
        <w:t xml:space="preserve"> Chi Minh City, which belongs to Region </w:t>
      </w:r>
      <w:r w:rsidR="004D2B2F">
        <w:rPr>
          <w:rFonts w:asciiTheme="minorHAnsi" w:hAnsiTheme="minorHAnsi" w:cstheme="minorHAnsi"/>
        </w:rPr>
        <w:t>I</w:t>
      </w:r>
      <w:r w:rsidRPr="003006D1">
        <w:rPr>
          <w:rFonts w:asciiTheme="minorHAnsi" w:hAnsiTheme="minorHAnsi" w:cstheme="minorHAnsi"/>
        </w:rPr>
        <w:t>, using the current applicable General Minimum Wage and Regional Minimum Wage:</w:t>
      </w:r>
    </w:p>
    <w:p w:rsidR="00DF3DB7" w:rsidRDefault="00DF3DB7" w:rsidP="00D46469">
      <w:pPr>
        <w:pStyle w:val="BodyText"/>
        <w:tabs>
          <w:tab w:val="left" w:pos="990"/>
        </w:tabs>
        <w:spacing w:after="0" w:line="240" w:lineRule="auto"/>
        <w:jc w:val="both"/>
        <w:rPr>
          <w:rFonts w:asciiTheme="minorHAnsi" w:hAnsiTheme="minorHAnsi" w:cstheme="minorHAnsi"/>
        </w:rPr>
      </w:pPr>
    </w:p>
    <w:p w:rsidR="00D46469" w:rsidRDefault="00D46469" w:rsidP="00D46469">
      <w:pPr>
        <w:pStyle w:val="BodyText"/>
        <w:tabs>
          <w:tab w:val="left" w:pos="990"/>
        </w:tabs>
        <w:spacing w:after="0" w:line="240" w:lineRule="auto"/>
        <w:jc w:val="both"/>
        <w:rPr>
          <w:rFonts w:asciiTheme="minorHAnsi" w:hAnsiTheme="minorHAnsi" w:cstheme="minorHAnsi"/>
        </w:rPr>
      </w:pPr>
    </w:p>
    <w:p w:rsidR="001E26B3" w:rsidRDefault="006D2639" w:rsidP="00D46469">
      <w:pPr>
        <w:pStyle w:val="BodyText"/>
        <w:tabs>
          <w:tab w:val="left" w:pos="990"/>
        </w:tabs>
        <w:spacing w:after="0" w:line="240" w:lineRule="auto"/>
        <w:jc w:val="both"/>
        <w:rPr>
          <w:rFonts w:asciiTheme="minorHAnsi" w:hAnsiTheme="minorHAnsi" w:cstheme="minorHAnsi"/>
        </w:rPr>
      </w:pPr>
      <w:r w:rsidRPr="003006D1">
        <w:rPr>
          <w:rFonts w:asciiTheme="minorHAnsi" w:hAnsiTheme="minorHAnsi" w:cstheme="minorHAnsi"/>
        </w:rPr>
        <w:t>Exchange rate: 1 USD = 22</w:t>
      </w:r>
      <w:r w:rsidR="004D2B2F">
        <w:rPr>
          <w:rFonts w:asciiTheme="minorHAnsi" w:hAnsiTheme="minorHAnsi" w:cstheme="minorHAnsi"/>
        </w:rPr>
        <w:t>,</w:t>
      </w:r>
      <w:r w:rsidRPr="003006D1">
        <w:rPr>
          <w:rFonts w:asciiTheme="minorHAnsi" w:hAnsiTheme="minorHAnsi" w:cstheme="minorHAnsi"/>
        </w:rPr>
        <w:t xml:space="preserve">800 </w:t>
      </w:r>
      <w:proofErr w:type="spellStart"/>
      <w:r w:rsidRPr="003006D1">
        <w:rPr>
          <w:rFonts w:asciiTheme="minorHAnsi" w:hAnsiTheme="minorHAnsi" w:cstheme="minorHAnsi"/>
        </w:rPr>
        <w:t>VND</w:t>
      </w:r>
      <w:proofErr w:type="spellEnd"/>
    </w:p>
    <w:tbl>
      <w:tblPr>
        <w:tblpPr w:leftFromText="180" w:rightFromText="180" w:vertAnchor="text" w:horzAnchor="margin" w:tblpXSpec="center" w:tblpY="314"/>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60"/>
        <w:gridCol w:w="1260"/>
        <w:gridCol w:w="1242"/>
        <w:gridCol w:w="1620"/>
        <w:gridCol w:w="1638"/>
        <w:gridCol w:w="1512"/>
      </w:tblGrid>
      <w:tr w:rsidR="006D2639" w:rsidRPr="00345A5A" w:rsidTr="00D46469">
        <w:trPr>
          <w:trHeight w:val="510"/>
        </w:trPr>
        <w:tc>
          <w:tcPr>
            <w:tcW w:w="1278" w:type="dxa"/>
            <w:vMerge w:val="restart"/>
            <w:shd w:val="clear" w:color="auto" w:fill="FAFFAA" w:themeFill="accent4" w:themeFillTint="40"/>
            <w:vAlign w:val="center"/>
            <w:hideMark/>
          </w:tcPr>
          <w:p w:rsidR="006D2639" w:rsidRPr="00345A5A" w:rsidRDefault="006D2639" w:rsidP="00D46469">
            <w:pPr>
              <w:ind w:left="90"/>
              <w:jc w:val="both"/>
              <w:rPr>
                <w:rFonts w:asciiTheme="minorHAnsi" w:hAnsiTheme="minorHAnsi" w:cstheme="minorHAnsi"/>
                <w:sz w:val="20"/>
                <w:szCs w:val="20"/>
              </w:rPr>
            </w:pPr>
            <w:r w:rsidRPr="00345A5A">
              <w:rPr>
                <w:rFonts w:asciiTheme="minorHAnsi" w:hAnsiTheme="minorHAnsi" w:cstheme="minorHAnsi"/>
                <w:sz w:val="20"/>
                <w:szCs w:val="20"/>
              </w:rPr>
              <w:t>Salary range</w:t>
            </w:r>
          </w:p>
        </w:tc>
        <w:tc>
          <w:tcPr>
            <w:tcW w:w="2520" w:type="dxa"/>
            <w:gridSpan w:val="2"/>
            <w:shd w:val="clear" w:color="auto" w:fill="FAFFAA" w:themeFill="accent4" w:themeFillTint="40"/>
            <w:vAlign w:val="center"/>
            <w:hideMark/>
          </w:tcPr>
          <w:p w:rsidR="006D2639" w:rsidRPr="00345A5A" w:rsidRDefault="006D2639" w:rsidP="00D46469">
            <w:pPr>
              <w:ind w:left="162"/>
              <w:jc w:val="both"/>
              <w:rPr>
                <w:rFonts w:asciiTheme="minorHAnsi" w:hAnsiTheme="minorHAnsi" w:cstheme="minorHAnsi"/>
                <w:sz w:val="20"/>
                <w:szCs w:val="20"/>
              </w:rPr>
            </w:pPr>
            <w:r w:rsidRPr="00345A5A">
              <w:rPr>
                <w:rFonts w:asciiTheme="minorHAnsi" w:hAnsiTheme="minorHAnsi" w:cstheme="minorHAnsi"/>
                <w:sz w:val="20"/>
                <w:szCs w:val="20"/>
              </w:rPr>
              <w:t xml:space="preserve">Salary used to calculate the contribution </w:t>
            </w:r>
          </w:p>
          <w:p w:rsidR="006D2639" w:rsidRPr="00345A5A" w:rsidRDefault="006D2639" w:rsidP="00D46469">
            <w:pPr>
              <w:ind w:left="360"/>
              <w:jc w:val="both"/>
              <w:rPr>
                <w:rFonts w:asciiTheme="minorHAnsi" w:hAnsiTheme="minorHAnsi" w:cstheme="minorHAnsi"/>
                <w:sz w:val="20"/>
                <w:szCs w:val="20"/>
              </w:rPr>
            </w:pPr>
            <w:r w:rsidRPr="00345A5A">
              <w:rPr>
                <w:rFonts w:asciiTheme="minorHAnsi" w:hAnsiTheme="minorHAnsi" w:cstheme="minorHAnsi"/>
                <w:sz w:val="20"/>
                <w:szCs w:val="20"/>
              </w:rPr>
              <w:t>(</w:t>
            </w: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w:t>
            </w:r>
          </w:p>
        </w:tc>
        <w:tc>
          <w:tcPr>
            <w:tcW w:w="6012" w:type="dxa"/>
            <w:gridSpan w:val="4"/>
            <w:shd w:val="clear" w:color="auto" w:fill="FAFFAA" w:themeFill="accent4" w:themeFillTint="40"/>
            <w:noWrap/>
            <w:vAlign w:val="center"/>
            <w:hideMark/>
          </w:tcPr>
          <w:p w:rsidR="006D2639" w:rsidRPr="00345A5A" w:rsidRDefault="006D2639" w:rsidP="00D46469">
            <w:pPr>
              <w:ind w:left="360"/>
              <w:jc w:val="both"/>
              <w:rPr>
                <w:rFonts w:asciiTheme="minorHAnsi" w:hAnsiTheme="minorHAnsi" w:cstheme="minorHAnsi"/>
                <w:sz w:val="20"/>
                <w:szCs w:val="20"/>
              </w:rPr>
            </w:pPr>
            <w:r w:rsidRPr="00345A5A">
              <w:rPr>
                <w:rFonts w:asciiTheme="minorHAnsi" w:hAnsiTheme="minorHAnsi" w:cstheme="minorHAnsi"/>
                <w:sz w:val="20"/>
                <w:szCs w:val="20"/>
              </w:rPr>
              <w:t xml:space="preserve">Total Contribution </w:t>
            </w:r>
          </w:p>
          <w:p w:rsidR="006D2639" w:rsidRPr="00345A5A" w:rsidRDefault="006D2639" w:rsidP="00D46469">
            <w:pPr>
              <w:ind w:left="360"/>
              <w:jc w:val="both"/>
              <w:rPr>
                <w:rFonts w:asciiTheme="minorHAnsi" w:hAnsiTheme="minorHAnsi" w:cstheme="minorHAnsi"/>
                <w:sz w:val="20"/>
                <w:szCs w:val="20"/>
              </w:rPr>
            </w:pPr>
            <w:r w:rsidRPr="00345A5A">
              <w:rPr>
                <w:rFonts w:asciiTheme="minorHAnsi" w:hAnsiTheme="minorHAnsi" w:cstheme="minorHAnsi"/>
                <w:sz w:val="20"/>
                <w:szCs w:val="20"/>
              </w:rPr>
              <w:t>(</w:t>
            </w: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/USD)</w:t>
            </w:r>
          </w:p>
        </w:tc>
      </w:tr>
      <w:tr w:rsidR="00D46469" w:rsidRPr="00345A5A" w:rsidTr="00D46469">
        <w:trPr>
          <w:trHeight w:val="1020"/>
        </w:trPr>
        <w:tc>
          <w:tcPr>
            <w:tcW w:w="1278" w:type="dxa"/>
            <w:vMerge/>
            <w:shd w:val="clear" w:color="auto" w:fill="FAFFAA" w:themeFill="accent4" w:themeFillTint="40"/>
            <w:vAlign w:val="center"/>
            <w:hideMark/>
          </w:tcPr>
          <w:p w:rsidR="006D2639" w:rsidRPr="00345A5A" w:rsidRDefault="006D2639" w:rsidP="00D46469">
            <w:pPr>
              <w:ind w:left="90"/>
              <w:jc w:val="both"/>
              <w:rPr>
                <w:rFonts w:asciiTheme="minorHAnsi" w:hAnsiTheme="minorHAnsi" w:cstheme="minorHAnsi"/>
                <w:sz w:val="20"/>
                <w:szCs w:val="20"/>
              </w:rPr>
            </w:pPr>
          </w:p>
        </w:tc>
        <w:tc>
          <w:tcPr>
            <w:tcW w:w="1260" w:type="dxa"/>
            <w:shd w:val="clear" w:color="auto" w:fill="FAFFAA" w:themeFill="accent4" w:themeFillTint="40"/>
            <w:vAlign w:val="center"/>
            <w:hideMark/>
          </w:tcPr>
          <w:p w:rsidR="006D2639" w:rsidRPr="00345A5A" w:rsidRDefault="006D2639" w:rsidP="00D46469">
            <w:pPr>
              <w:ind w:left="-18"/>
              <w:jc w:val="both"/>
              <w:rPr>
                <w:rFonts w:asciiTheme="minorHAnsi" w:hAnsiTheme="minorHAnsi" w:cstheme="minorHAnsi"/>
                <w:sz w:val="20"/>
                <w:szCs w:val="20"/>
              </w:rPr>
            </w:pPr>
            <w:r w:rsidRPr="00345A5A">
              <w:rPr>
                <w:rFonts w:asciiTheme="minorHAnsi" w:hAnsiTheme="minorHAnsi" w:cstheme="minorHAnsi"/>
                <w:sz w:val="20"/>
                <w:szCs w:val="20"/>
              </w:rPr>
              <w:t>For Social Insurance and Health Insurance</w:t>
            </w:r>
          </w:p>
        </w:tc>
        <w:tc>
          <w:tcPr>
            <w:tcW w:w="1260" w:type="dxa"/>
            <w:shd w:val="clear" w:color="auto" w:fill="FAFFAA" w:themeFill="accent4" w:themeFillTint="40"/>
            <w:vAlign w:val="center"/>
            <w:hideMark/>
          </w:tcPr>
          <w:p w:rsidR="006D2639" w:rsidRPr="00345A5A" w:rsidRDefault="006D2639" w:rsidP="00D46469">
            <w:pPr>
              <w:jc w:val="both"/>
              <w:rPr>
                <w:rFonts w:asciiTheme="minorHAnsi" w:hAnsiTheme="minorHAnsi" w:cstheme="minorHAnsi"/>
                <w:sz w:val="20"/>
                <w:szCs w:val="20"/>
              </w:rPr>
            </w:pPr>
            <w:r w:rsidRPr="00345A5A">
              <w:rPr>
                <w:rFonts w:asciiTheme="minorHAnsi" w:hAnsiTheme="minorHAnsi" w:cstheme="minorHAnsi"/>
                <w:sz w:val="20"/>
                <w:szCs w:val="20"/>
              </w:rPr>
              <w:t xml:space="preserve">For Unemployment Insurance </w:t>
            </w:r>
          </w:p>
        </w:tc>
        <w:tc>
          <w:tcPr>
            <w:tcW w:w="1242" w:type="dxa"/>
            <w:shd w:val="clear" w:color="auto" w:fill="FCFFDC" w:themeFill="accent4" w:themeFillTint="1A"/>
            <w:noWrap/>
            <w:vAlign w:val="center"/>
            <w:hideMark/>
          </w:tcPr>
          <w:p w:rsidR="006D2639" w:rsidRPr="00345A5A" w:rsidRDefault="006D2639" w:rsidP="00D46469">
            <w:pPr>
              <w:ind w:left="162"/>
              <w:jc w:val="both"/>
              <w:rPr>
                <w:rFonts w:asciiTheme="minorHAnsi" w:hAnsiTheme="minorHAnsi" w:cstheme="minorHAnsi"/>
                <w:sz w:val="20"/>
                <w:szCs w:val="20"/>
              </w:rPr>
            </w:pPr>
            <w:r w:rsidRPr="00345A5A">
              <w:rPr>
                <w:rFonts w:asciiTheme="minorHAnsi" w:hAnsiTheme="minorHAnsi" w:cstheme="minorHAnsi"/>
                <w:sz w:val="20"/>
                <w:szCs w:val="20"/>
              </w:rPr>
              <w:t>Employer</w:t>
            </w:r>
          </w:p>
        </w:tc>
        <w:tc>
          <w:tcPr>
            <w:tcW w:w="1620" w:type="dxa"/>
            <w:shd w:val="clear" w:color="auto" w:fill="FCFFDC" w:themeFill="accent4" w:themeFillTint="1A"/>
            <w:vAlign w:val="center"/>
            <w:hideMark/>
          </w:tcPr>
          <w:p w:rsidR="006D2639" w:rsidRPr="00345A5A" w:rsidRDefault="006D2639" w:rsidP="00D46469">
            <w:pPr>
              <w:ind w:left="360"/>
              <w:jc w:val="both"/>
              <w:rPr>
                <w:rFonts w:asciiTheme="minorHAnsi" w:hAnsiTheme="minorHAnsi" w:cstheme="minorHAnsi"/>
                <w:sz w:val="20"/>
                <w:szCs w:val="20"/>
              </w:rPr>
            </w:pPr>
            <w:r w:rsidRPr="00345A5A">
              <w:rPr>
                <w:rFonts w:asciiTheme="minorHAnsi" w:hAnsiTheme="minorHAnsi" w:cstheme="minorHAnsi"/>
                <w:sz w:val="20"/>
                <w:szCs w:val="20"/>
              </w:rPr>
              <w:t>Vietnamese employee</w:t>
            </w:r>
          </w:p>
        </w:tc>
        <w:tc>
          <w:tcPr>
            <w:tcW w:w="1638" w:type="dxa"/>
            <w:shd w:val="clear" w:color="auto" w:fill="FAFFAA" w:themeFill="accent4" w:themeFillTint="40"/>
            <w:noWrap/>
            <w:vAlign w:val="center"/>
            <w:hideMark/>
          </w:tcPr>
          <w:p w:rsidR="006D2639" w:rsidRPr="00345A5A" w:rsidRDefault="006D2639" w:rsidP="00D46469">
            <w:pPr>
              <w:ind w:left="360"/>
              <w:jc w:val="both"/>
              <w:rPr>
                <w:rFonts w:asciiTheme="minorHAnsi" w:hAnsiTheme="minorHAnsi" w:cstheme="minorHAnsi"/>
                <w:sz w:val="20"/>
                <w:szCs w:val="20"/>
              </w:rPr>
            </w:pPr>
            <w:r w:rsidRPr="00345A5A">
              <w:rPr>
                <w:rFonts w:asciiTheme="minorHAnsi" w:hAnsiTheme="minorHAnsi" w:cstheme="minorHAnsi"/>
                <w:sz w:val="20"/>
                <w:szCs w:val="20"/>
              </w:rPr>
              <w:t>Employer</w:t>
            </w:r>
          </w:p>
        </w:tc>
        <w:tc>
          <w:tcPr>
            <w:tcW w:w="1512" w:type="dxa"/>
            <w:shd w:val="clear" w:color="auto" w:fill="FAFFAA" w:themeFill="accent4" w:themeFillTint="40"/>
            <w:vAlign w:val="center"/>
            <w:hideMark/>
          </w:tcPr>
          <w:p w:rsidR="006D2639" w:rsidRPr="00345A5A" w:rsidRDefault="006D2639" w:rsidP="00D46469">
            <w:pPr>
              <w:ind w:left="360"/>
              <w:jc w:val="both"/>
              <w:rPr>
                <w:rFonts w:asciiTheme="minorHAnsi" w:hAnsiTheme="minorHAnsi" w:cstheme="minorHAnsi"/>
                <w:sz w:val="20"/>
                <w:szCs w:val="20"/>
              </w:rPr>
            </w:pPr>
            <w:r w:rsidRPr="00345A5A">
              <w:rPr>
                <w:rFonts w:asciiTheme="minorHAnsi" w:hAnsiTheme="minorHAnsi" w:cstheme="minorHAnsi"/>
                <w:sz w:val="20"/>
                <w:szCs w:val="20"/>
              </w:rPr>
              <w:t>Foreign Employee</w:t>
            </w:r>
          </w:p>
        </w:tc>
      </w:tr>
      <w:tr w:rsidR="00D46469" w:rsidRPr="00345A5A" w:rsidTr="00D46469">
        <w:trPr>
          <w:trHeight w:val="510"/>
        </w:trPr>
        <w:tc>
          <w:tcPr>
            <w:tcW w:w="1278" w:type="dxa"/>
            <w:shd w:val="clear" w:color="auto" w:fill="FAFFAA" w:themeFill="accent4" w:themeFillTint="40"/>
            <w:vAlign w:val="bottom"/>
            <w:hideMark/>
          </w:tcPr>
          <w:p w:rsidR="006D2639" w:rsidRPr="00345A5A" w:rsidRDefault="006D2639" w:rsidP="00D46469">
            <w:pPr>
              <w:ind w:left="90"/>
              <w:jc w:val="both"/>
              <w:rPr>
                <w:rFonts w:asciiTheme="minorHAnsi" w:hAnsiTheme="minorHAnsi" w:cstheme="minorHAnsi"/>
                <w:sz w:val="20"/>
                <w:szCs w:val="20"/>
              </w:rPr>
            </w:pPr>
            <w:r w:rsidRPr="00345A5A">
              <w:rPr>
                <w:rFonts w:asciiTheme="minorHAnsi" w:hAnsiTheme="minorHAnsi" w:cstheme="minorHAnsi"/>
                <w:sz w:val="20"/>
                <w:szCs w:val="20"/>
              </w:rPr>
              <w:t>The current applicable minimum wage</w:t>
            </w:r>
          </w:p>
          <w:p w:rsidR="006D2639" w:rsidRPr="00345A5A" w:rsidRDefault="006D2639" w:rsidP="00D46469">
            <w:pPr>
              <w:ind w:left="90"/>
              <w:jc w:val="both"/>
              <w:rPr>
                <w:rFonts w:asciiTheme="minorHAnsi" w:hAnsiTheme="minorHAnsi" w:cstheme="minorHAnsi"/>
                <w:sz w:val="20"/>
                <w:szCs w:val="20"/>
              </w:rPr>
            </w:pPr>
            <w:r w:rsidRPr="00345A5A">
              <w:rPr>
                <w:rFonts w:asciiTheme="minorHAnsi" w:hAnsiTheme="minorHAnsi" w:cstheme="minorHAnsi"/>
                <w:sz w:val="20"/>
                <w:szCs w:val="20"/>
              </w:rPr>
              <w:t xml:space="preserve">(for Region </w:t>
            </w:r>
            <w:r w:rsidR="00D46469">
              <w:rPr>
                <w:rFonts w:asciiTheme="minorHAnsi" w:hAnsiTheme="minorHAnsi" w:cstheme="minorHAnsi"/>
                <w:sz w:val="20"/>
                <w:szCs w:val="20"/>
              </w:rPr>
              <w:t xml:space="preserve">I: </w:t>
            </w: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3,750,000)</w:t>
            </w:r>
          </w:p>
        </w:tc>
        <w:tc>
          <w:tcPr>
            <w:tcW w:w="1260" w:type="dxa"/>
            <w:shd w:val="clear" w:color="auto" w:fill="FAFFAA" w:themeFill="accent4" w:themeFillTint="40"/>
            <w:noWrap/>
            <w:vAlign w:val="bottom"/>
            <w:hideMark/>
          </w:tcPr>
          <w:p w:rsidR="006D2639" w:rsidRPr="00345A5A" w:rsidRDefault="006D2639" w:rsidP="00D46469">
            <w:pPr>
              <w:ind w:left="72"/>
              <w:jc w:val="both"/>
              <w:rPr>
                <w:rFonts w:asciiTheme="minorHAnsi" w:hAnsiTheme="minorHAnsi" w:cstheme="minorHAnsi"/>
                <w:sz w:val="20"/>
                <w:szCs w:val="20"/>
              </w:rPr>
            </w:pPr>
            <w:r w:rsidRPr="00345A5A">
              <w:rPr>
                <w:rFonts w:asciiTheme="minorHAnsi" w:hAnsiTheme="minorHAnsi" w:cstheme="minorHAnsi"/>
                <w:sz w:val="20"/>
                <w:szCs w:val="20"/>
              </w:rPr>
              <w:t>3,750,000</w:t>
            </w:r>
          </w:p>
        </w:tc>
        <w:tc>
          <w:tcPr>
            <w:tcW w:w="1260" w:type="dxa"/>
            <w:shd w:val="clear" w:color="auto" w:fill="FAFFAA" w:themeFill="accent4" w:themeFillTint="40"/>
            <w:noWrap/>
            <w:vAlign w:val="bottom"/>
            <w:hideMark/>
          </w:tcPr>
          <w:p w:rsidR="006D2639" w:rsidRPr="00345A5A" w:rsidRDefault="006D2639" w:rsidP="00D46469">
            <w:pPr>
              <w:ind w:left="72"/>
              <w:jc w:val="both"/>
              <w:rPr>
                <w:rFonts w:asciiTheme="minorHAnsi" w:hAnsiTheme="minorHAnsi" w:cstheme="minorHAnsi"/>
                <w:sz w:val="20"/>
                <w:szCs w:val="20"/>
              </w:rPr>
            </w:pPr>
            <w:r w:rsidRPr="00345A5A">
              <w:rPr>
                <w:rFonts w:asciiTheme="minorHAnsi" w:hAnsiTheme="minorHAnsi" w:cstheme="minorHAnsi"/>
                <w:sz w:val="20"/>
                <w:szCs w:val="20"/>
              </w:rPr>
              <w:t>3,750,000</w:t>
            </w:r>
          </w:p>
        </w:tc>
        <w:tc>
          <w:tcPr>
            <w:tcW w:w="1242" w:type="dxa"/>
            <w:shd w:val="clear" w:color="auto" w:fill="FCFFDC" w:themeFill="accent4" w:themeFillTint="1A"/>
            <w:noWrap/>
            <w:vAlign w:val="bottom"/>
          </w:tcPr>
          <w:p w:rsidR="006D2639" w:rsidRPr="00345A5A" w:rsidRDefault="006D2639" w:rsidP="00D46469">
            <w:pPr>
              <w:ind w:left="162"/>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825,000/</w:t>
            </w:r>
          </w:p>
          <w:p w:rsidR="006D2639" w:rsidRPr="00345A5A" w:rsidRDefault="006D2639" w:rsidP="00D46469">
            <w:pPr>
              <w:ind w:left="162"/>
              <w:jc w:val="both"/>
              <w:rPr>
                <w:rFonts w:asciiTheme="minorHAnsi" w:hAnsiTheme="minorHAnsi" w:cstheme="minorHAnsi"/>
                <w:sz w:val="20"/>
                <w:szCs w:val="20"/>
              </w:rPr>
            </w:pPr>
            <w:r w:rsidRPr="00345A5A">
              <w:rPr>
                <w:rFonts w:asciiTheme="minorHAnsi" w:hAnsiTheme="minorHAnsi" w:cstheme="minorHAnsi"/>
                <w:sz w:val="20"/>
                <w:szCs w:val="20"/>
              </w:rPr>
              <w:t xml:space="preserve">USD 36.2 </w:t>
            </w:r>
          </w:p>
        </w:tc>
        <w:tc>
          <w:tcPr>
            <w:tcW w:w="1620" w:type="dxa"/>
            <w:shd w:val="clear" w:color="auto" w:fill="FCFFDC" w:themeFill="accent4" w:themeFillTint="1A"/>
            <w:noWrap/>
            <w:vAlign w:val="bottom"/>
          </w:tcPr>
          <w:p w:rsidR="006D2639" w:rsidRPr="00345A5A" w:rsidRDefault="006D2639" w:rsidP="00D46469">
            <w:pPr>
              <w:ind w:left="162"/>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393,750/</w:t>
            </w:r>
          </w:p>
          <w:p w:rsidR="006D2639" w:rsidRPr="00345A5A" w:rsidRDefault="006D2639" w:rsidP="00D46469">
            <w:pPr>
              <w:ind w:left="162"/>
              <w:jc w:val="both"/>
              <w:rPr>
                <w:rFonts w:asciiTheme="minorHAnsi" w:hAnsiTheme="minorHAnsi" w:cstheme="minorHAnsi"/>
                <w:sz w:val="20"/>
                <w:szCs w:val="20"/>
              </w:rPr>
            </w:pPr>
            <w:r w:rsidRPr="00345A5A">
              <w:rPr>
                <w:rFonts w:asciiTheme="minorHAnsi" w:hAnsiTheme="minorHAnsi" w:cstheme="minorHAnsi"/>
                <w:sz w:val="20"/>
                <w:szCs w:val="20"/>
              </w:rPr>
              <w:t>USD 17.3</w:t>
            </w:r>
          </w:p>
        </w:tc>
        <w:tc>
          <w:tcPr>
            <w:tcW w:w="1638" w:type="dxa"/>
            <w:shd w:val="clear" w:color="auto" w:fill="FAFFAA" w:themeFill="accent4" w:themeFillTint="40"/>
            <w:noWrap/>
            <w:vAlign w:val="bottom"/>
          </w:tcPr>
          <w:p w:rsidR="006D2639" w:rsidRPr="00345A5A" w:rsidRDefault="006D2639" w:rsidP="00D46469">
            <w:pPr>
              <w:ind w:left="162"/>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787,500/</w:t>
            </w:r>
          </w:p>
          <w:p w:rsidR="006D2639" w:rsidRPr="00345A5A" w:rsidRDefault="001F16D7" w:rsidP="00D46469">
            <w:pPr>
              <w:ind w:left="162"/>
              <w:jc w:val="both"/>
              <w:rPr>
                <w:rFonts w:asciiTheme="minorHAnsi" w:hAnsiTheme="minorHAnsi" w:cstheme="minorHAnsi"/>
                <w:sz w:val="20"/>
                <w:szCs w:val="20"/>
              </w:rPr>
            </w:pPr>
            <w:proofErr w:type="spellStart"/>
            <w:r>
              <w:rPr>
                <w:rFonts w:asciiTheme="minorHAnsi" w:hAnsiTheme="minorHAnsi" w:cstheme="minorHAnsi"/>
                <w:sz w:val="20"/>
                <w:szCs w:val="20"/>
              </w:rPr>
              <w:t>USD</w:t>
            </w:r>
            <w:r w:rsidR="006D2639" w:rsidRPr="00345A5A">
              <w:rPr>
                <w:rFonts w:asciiTheme="minorHAnsi" w:hAnsiTheme="minorHAnsi" w:cstheme="minorHAnsi"/>
                <w:sz w:val="20"/>
                <w:szCs w:val="20"/>
              </w:rPr>
              <w:t>34.5</w:t>
            </w:r>
            <w:proofErr w:type="spellEnd"/>
          </w:p>
        </w:tc>
        <w:tc>
          <w:tcPr>
            <w:tcW w:w="1512" w:type="dxa"/>
            <w:shd w:val="clear" w:color="auto" w:fill="FAFFAA" w:themeFill="accent4" w:themeFillTint="40"/>
            <w:noWrap/>
            <w:vAlign w:val="bottom"/>
          </w:tcPr>
          <w:p w:rsidR="006D2639" w:rsidRPr="00345A5A" w:rsidRDefault="006D2639" w:rsidP="00D46469">
            <w:pPr>
              <w:ind w:left="126"/>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356,250/</w:t>
            </w:r>
          </w:p>
          <w:p w:rsidR="006D2639" w:rsidRPr="00345A5A" w:rsidRDefault="001F16D7" w:rsidP="00D46469">
            <w:pPr>
              <w:ind w:left="126"/>
              <w:jc w:val="both"/>
              <w:rPr>
                <w:rFonts w:asciiTheme="minorHAnsi" w:hAnsiTheme="minorHAnsi" w:cstheme="minorHAnsi"/>
                <w:sz w:val="20"/>
                <w:szCs w:val="20"/>
              </w:rPr>
            </w:pPr>
            <w:proofErr w:type="spellStart"/>
            <w:r>
              <w:rPr>
                <w:rFonts w:asciiTheme="minorHAnsi" w:hAnsiTheme="minorHAnsi" w:cstheme="minorHAnsi"/>
                <w:sz w:val="20"/>
                <w:szCs w:val="20"/>
              </w:rPr>
              <w:t>USD</w:t>
            </w:r>
            <w:r w:rsidR="006D2639" w:rsidRPr="00345A5A">
              <w:rPr>
                <w:rFonts w:asciiTheme="minorHAnsi" w:hAnsiTheme="minorHAnsi" w:cstheme="minorHAnsi"/>
                <w:sz w:val="20"/>
                <w:szCs w:val="20"/>
              </w:rPr>
              <w:t>15.6</w:t>
            </w:r>
            <w:proofErr w:type="spellEnd"/>
          </w:p>
        </w:tc>
      </w:tr>
      <w:tr w:rsidR="00D46469" w:rsidRPr="00345A5A" w:rsidTr="00D46469">
        <w:trPr>
          <w:trHeight w:val="255"/>
        </w:trPr>
        <w:tc>
          <w:tcPr>
            <w:tcW w:w="1278" w:type="dxa"/>
            <w:shd w:val="clear" w:color="auto" w:fill="FAFFAA" w:themeFill="accent4" w:themeFillTint="40"/>
            <w:noWrap/>
            <w:vAlign w:val="bottom"/>
            <w:hideMark/>
          </w:tcPr>
          <w:p w:rsidR="006D2639" w:rsidRPr="00345A5A" w:rsidRDefault="001F16D7" w:rsidP="00D46469">
            <w:pPr>
              <w:ind w:left="90"/>
              <w:jc w:val="both"/>
              <w:rPr>
                <w:rFonts w:asciiTheme="minorHAnsi" w:hAnsiTheme="minorHAnsi" w:cstheme="minorHAnsi"/>
                <w:sz w:val="20"/>
                <w:szCs w:val="20"/>
              </w:rPr>
            </w:pPr>
            <w:proofErr w:type="spellStart"/>
            <w:r>
              <w:rPr>
                <w:rFonts w:asciiTheme="minorHAnsi" w:hAnsiTheme="minorHAnsi" w:cstheme="minorHAnsi"/>
                <w:sz w:val="20"/>
                <w:szCs w:val="20"/>
              </w:rPr>
              <w:t>USD</w:t>
            </w:r>
            <w:r w:rsidR="006D2639" w:rsidRPr="00345A5A">
              <w:rPr>
                <w:rFonts w:asciiTheme="minorHAnsi" w:hAnsiTheme="minorHAnsi" w:cstheme="minorHAnsi"/>
                <w:sz w:val="20"/>
                <w:szCs w:val="20"/>
              </w:rPr>
              <w:t>400</w:t>
            </w:r>
            <w:proofErr w:type="spellEnd"/>
            <w:r w:rsidR="006D2639" w:rsidRPr="00345A5A">
              <w:rPr>
                <w:rFonts w:asciiTheme="minorHAnsi" w:hAnsiTheme="minorHAnsi" w:cstheme="minorHAnsi"/>
                <w:sz w:val="20"/>
                <w:szCs w:val="20"/>
              </w:rPr>
              <w:t xml:space="preserve"> </w:t>
            </w:r>
          </w:p>
        </w:tc>
        <w:tc>
          <w:tcPr>
            <w:tcW w:w="1260" w:type="dxa"/>
            <w:shd w:val="clear" w:color="auto" w:fill="FAFFAA" w:themeFill="accent4" w:themeFillTint="40"/>
            <w:noWrap/>
            <w:vAlign w:val="bottom"/>
            <w:hideMark/>
          </w:tcPr>
          <w:p w:rsidR="006D2639" w:rsidRPr="00345A5A" w:rsidRDefault="006D2639" w:rsidP="00D46469">
            <w:pPr>
              <w:ind w:left="72"/>
              <w:jc w:val="both"/>
              <w:rPr>
                <w:rFonts w:asciiTheme="minorHAnsi" w:hAnsiTheme="minorHAnsi" w:cstheme="minorHAnsi"/>
                <w:sz w:val="20"/>
                <w:szCs w:val="20"/>
              </w:rPr>
            </w:pPr>
            <w:r w:rsidRPr="00345A5A">
              <w:rPr>
                <w:rFonts w:asciiTheme="minorHAnsi" w:hAnsiTheme="minorHAnsi" w:cstheme="minorHAnsi"/>
                <w:sz w:val="20"/>
                <w:szCs w:val="20"/>
              </w:rPr>
              <w:t>9,120,000</w:t>
            </w:r>
          </w:p>
        </w:tc>
        <w:tc>
          <w:tcPr>
            <w:tcW w:w="1260" w:type="dxa"/>
            <w:shd w:val="clear" w:color="auto" w:fill="FAFFAA" w:themeFill="accent4" w:themeFillTint="40"/>
            <w:noWrap/>
            <w:vAlign w:val="bottom"/>
            <w:hideMark/>
          </w:tcPr>
          <w:p w:rsidR="006D2639" w:rsidRPr="00345A5A" w:rsidRDefault="006D2639" w:rsidP="00D46469">
            <w:pPr>
              <w:ind w:left="72"/>
              <w:jc w:val="both"/>
              <w:rPr>
                <w:rFonts w:asciiTheme="minorHAnsi" w:hAnsiTheme="minorHAnsi" w:cstheme="minorHAnsi"/>
                <w:sz w:val="20"/>
                <w:szCs w:val="20"/>
              </w:rPr>
            </w:pPr>
            <w:r w:rsidRPr="00345A5A">
              <w:rPr>
                <w:rFonts w:asciiTheme="minorHAnsi" w:hAnsiTheme="minorHAnsi" w:cstheme="minorHAnsi"/>
                <w:sz w:val="20"/>
                <w:szCs w:val="20"/>
              </w:rPr>
              <w:t>9,120,000</w:t>
            </w:r>
          </w:p>
        </w:tc>
        <w:tc>
          <w:tcPr>
            <w:tcW w:w="1242" w:type="dxa"/>
            <w:shd w:val="clear" w:color="auto" w:fill="FCFFDC" w:themeFill="accent4" w:themeFillTint="1A"/>
            <w:noWrap/>
            <w:vAlign w:val="bottom"/>
          </w:tcPr>
          <w:p w:rsidR="006D2639" w:rsidRPr="00345A5A" w:rsidRDefault="006D2639" w:rsidP="00D46469">
            <w:pPr>
              <w:ind w:left="162"/>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2,006,400/</w:t>
            </w:r>
          </w:p>
          <w:p w:rsidR="006D2639" w:rsidRPr="00345A5A" w:rsidRDefault="006D2639" w:rsidP="00D46469">
            <w:pPr>
              <w:ind w:left="162"/>
              <w:jc w:val="both"/>
              <w:rPr>
                <w:rFonts w:asciiTheme="minorHAnsi" w:hAnsiTheme="minorHAnsi" w:cstheme="minorHAnsi"/>
                <w:sz w:val="20"/>
                <w:szCs w:val="20"/>
              </w:rPr>
            </w:pPr>
            <w:r w:rsidRPr="00345A5A">
              <w:rPr>
                <w:rFonts w:asciiTheme="minorHAnsi" w:hAnsiTheme="minorHAnsi" w:cstheme="minorHAnsi"/>
                <w:sz w:val="20"/>
                <w:szCs w:val="20"/>
              </w:rPr>
              <w:t>USD 88</w:t>
            </w:r>
          </w:p>
        </w:tc>
        <w:tc>
          <w:tcPr>
            <w:tcW w:w="1620" w:type="dxa"/>
            <w:shd w:val="clear" w:color="auto" w:fill="FCFFDC" w:themeFill="accent4" w:themeFillTint="1A"/>
            <w:noWrap/>
            <w:vAlign w:val="bottom"/>
          </w:tcPr>
          <w:p w:rsidR="006D2639" w:rsidRPr="00345A5A" w:rsidRDefault="006D2639" w:rsidP="00D46469">
            <w:pPr>
              <w:ind w:left="162"/>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957,600/</w:t>
            </w:r>
          </w:p>
          <w:p w:rsidR="006D2639" w:rsidRPr="00345A5A" w:rsidRDefault="006D2639" w:rsidP="00D46469">
            <w:pPr>
              <w:ind w:left="162"/>
              <w:jc w:val="both"/>
              <w:rPr>
                <w:rFonts w:asciiTheme="minorHAnsi" w:hAnsiTheme="minorHAnsi" w:cstheme="minorHAnsi"/>
                <w:sz w:val="20"/>
                <w:szCs w:val="20"/>
              </w:rPr>
            </w:pPr>
            <w:r w:rsidRPr="00345A5A">
              <w:rPr>
                <w:rFonts w:asciiTheme="minorHAnsi" w:hAnsiTheme="minorHAnsi" w:cstheme="minorHAnsi"/>
                <w:sz w:val="20"/>
                <w:szCs w:val="20"/>
              </w:rPr>
              <w:t>USD 42</w:t>
            </w:r>
          </w:p>
        </w:tc>
        <w:tc>
          <w:tcPr>
            <w:tcW w:w="1638" w:type="dxa"/>
            <w:shd w:val="clear" w:color="auto" w:fill="FAFFAA" w:themeFill="accent4" w:themeFillTint="40"/>
            <w:noWrap/>
            <w:vAlign w:val="bottom"/>
          </w:tcPr>
          <w:p w:rsidR="006D2639" w:rsidRPr="00345A5A" w:rsidRDefault="006D2639" w:rsidP="00D46469">
            <w:pPr>
              <w:ind w:left="162"/>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1,915,200/</w:t>
            </w:r>
          </w:p>
          <w:p w:rsidR="006D2639" w:rsidRPr="00345A5A" w:rsidRDefault="006D2639" w:rsidP="00D46469">
            <w:pPr>
              <w:ind w:left="162"/>
              <w:jc w:val="both"/>
              <w:rPr>
                <w:rFonts w:asciiTheme="minorHAnsi" w:hAnsiTheme="minorHAnsi" w:cstheme="minorHAnsi"/>
                <w:sz w:val="20"/>
                <w:szCs w:val="20"/>
              </w:rPr>
            </w:pPr>
            <w:r w:rsidRPr="00345A5A">
              <w:rPr>
                <w:rFonts w:asciiTheme="minorHAnsi" w:hAnsiTheme="minorHAnsi" w:cstheme="minorHAnsi"/>
                <w:sz w:val="20"/>
                <w:szCs w:val="20"/>
              </w:rPr>
              <w:t>USD 84</w:t>
            </w:r>
          </w:p>
        </w:tc>
        <w:tc>
          <w:tcPr>
            <w:tcW w:w="1512" w:type="dxa"/>
            <w:shd w:val="clear" w:color="auto" w:fill="FAFFAA" w:themeFill="accent4" w:themeFillTint="40"/>
            <w:noWrap/>
            <w:vAlign w:val="bottom"/>
          </w:tcPr>
          <w:p w:rsidR="006D2639" w:rsidRPr="00345A5A" w:rsidRDefault="006D2639" w:rsidP="00D46469">
            <w:pPr>
              <w:ind w:left="126"/>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866,400/</w:t>
            </w:r>
          </w:p>
          <w:p w:rsidR="006D2639" w:rsidRPr="00345A5A" w:rsidRDefault="006D2639" w:rsidP="00D46469">
            <w:pPr>
              <w:ind w:left="126"/>
              <w:jc w:val="both"/>
              <w:rPr>
                <w:rFonts w:asciiTheme="minorHAnsi" w:hAnsiTheme="minorHAnsi" w:cstheme="minorHAnsi"/>
                <w:sz w:val="20"/>
                <w:szCs w:val="20"/>
              </w:rPr>
            </w:pPr>
            <w:r w:rsidRPr="00345A5A">
              <w:rPr>
                <w:rFonts w:asciiTheme="minorHAnsi" w:hAnsiTheme="minorHAnsi" w:cstheme="minorHAnsi"/>
                <w:sz w:val="20"/>
                <w:szCs w:val="20"/>
              </w:rPr>
              <w:t>USD 38</w:t>
            </w:r>
          </w:p>
        </w:tc>
      </w:tr>
      <w:tr w:rsidR="00D46469" w:rsidRPr="00345A5A" w:rsidTr="00D46469">
        <w:trPr>
          <w:trHeight w:val="255"/>
        </w:trPr>
        <w:tc>
          <w:tcPr>
            <w:tcW w:w="1278" w:type="dxa"/>
            <w:shd w:val="clear" w:color="auto" w:fill="FAFFAA" w:themeFill="accent4" w:themeFillTint="40"/>
            <w:noWrap/>
            <w:vAlign w:val="bottom"/>
            <w:hideMark/>
          </w:tcPr>
          <w:p w:rsidR="006D2639" w:rsidRPr="00345A5A" w:rsidRDefault="001F16D7" w:rsidP="00D46469">
            <w:pPr>
              <w:ind w:left="90"/>
              <w:jc w:val="both"/>
              <w:rPr>
                <w:rFonts w:asciiTheme="minorHAnsi" w:hAnsiTheme="minorHAnsi" w:cstheme="minorHAnsi"/>
                <w:sz w:val="20"/>
                <w:szCs w:val="20"/>
              </w:rPr>
            </w:pPr>
            <w:proofErr w:type="spellStart"/>
            <w:r>
              <w:rPr>
                <w:rFonts w:asciiTheme="minorHAnsi" w:hAnsiTheme="minorHAnsi" w:cstheme="minorHAnsi"/>
                <w:sz w:val="20"/>
                <w:szCs w:val="20"/>
              </w:rPr>
              <w:t>USD</w:t>
            </w:r>
            <w:r w:rsidR="006D2639" w:rsidRPr="00345A5A">
              <w:rPr>
                <w:rFonts w:asciiTheme="minorHAnsi" w:hAnsiTheme="minorHAnsi" w:cstheme="minorHAnsi"/>
                <w:sz w:val="20"/>
                <w:szCs w:val="20"/>
              </w:rPr>
              <w:t>4,000</w:t>
            </w:r>
            <w:proofErr w:type="spellEnd"/>
            <w:r w:rsidR="006D2639" w:rsidRPr="00345A5A">
              <w:rPr>
                <w:rFonts w:asciiTheme="minorHAnsi" w:hAnsiTheme="minorHAnsi" w:cstheme="minorHAnsi"/>
                <w:sz w:val="20"/>
                <w:szCs w:val="20"/>
              </w:rPr>
              <w:t xml:space="preserve"> </w:t>
            </w:r>
          </w:p>
        </w:tc>
        <w:tc>
          <w:tcPr>
            <w:tcW w:w="1260" w:type="dxa"/>
            <w:shd w:val="clear" w:color="auto" w:fill="FAFFAA" w:themeFill="accent4" w:themeFillTint="40"/>
            <w:noWrap/>
            <w:vAlign w:val="bottom"/>
            <w:hideMark/>
          </w:tcPr>
          <w:p w:rsidR="006D2639" w:rsidRPr="00345A5A" w:rsidRDefault="006D2639" w:rsidP="00D46469">
            <w:pPr>
              <w:ind w:left="72"/>
              <w:jc w:val="both"/>
              <w:rPr>
                <w:rFonts w:asciiTheme="minorHAnsi" w:hAnsiTheme="minorHAnsi" w:cstheme="minorHAnsi"/>
                <w:sz w:val="20"/>
                <w:szCs w:val="20"/>
              </w:rPr>
            </w:pPr>
            <w:r w:rsidRPr="00345A5A">
              <w:rPr>
                <w:rFonts w:asciiTheme="minorHAnsi" w:hAnsiTheme="minorHAnsi" w:cstheme="minorHAnsi"/>
                <w:sz w:val="20"/>
                <w:szCs w:val="20"/>
              </w:rPr>
              <w:t>24,200,000</w:t>
            </w:r>
          </w:p>
        </w:tc>
        <w:tc>
          <w:tcPr>
            <w:tcW w:w="1260" w:type="dxa"/>
            <w:shd w:val="clear" w:color="auto" w:fill="FAFFAA" w:themeFill="accent4" w:themeFillTint="40"/>
            <w:noWrap/>
            <w:vAlign w:val="bottom"/>
            <w:hideMark/>
          </w:tcPr>
          <w:p w:rsidR="006D2639" w:rsidRPr="00345A5A" w:rsidRDefault="006D2639" w:rsidP="00D46469">
            <w:pPr>
              <w:ind w:left="72"/>
              <w:jc w:val="both"/>
              <w:rPr>
                <w:rFonts w:asciiTheme="minorHAnsi" w:hAnsiTheme="minorHAnsi" w:cstheme="minorHAnsi"/>
                <w:sz w:val="20"/>
                <w:szCs w:val="20"/>
              </w:rPr>
            </w:pPr>
            <w:r w:rsidRPr="00345A5A">
              <w:rPr>
                <w:rFonts w:asciiTheme="minorHAnsi" w:hAnsiTheme="minorHAnsi" w:cstheme="minorHAnsi"/>
                <w:sz w:val="20"/>
                <w:szCs w:val="20"/>
              </w:rPr>
              <w:t>75,000,000</w:t>
            </w:r>
          </w:p>
        </w:tc>
        <w:tc>
          <w:tcPr>
            <w:tcW w:w="1242" w:type="dxa"/>
            <w:shd w:val="clear" w:color="auto" w:fill="FCFFDC" w:themeFill="accent4" w:themeFillTint="1A"/>
            <w:noWrap/>
            <w:vAlign w:val="bottom"/>
          </w:tcPr>
          <w:p w:rsidR="006D2639" w:rsidRPr="00345A5A" w:rsidRDefault="006D2639" w:rsidP="00D46469">
            <w:pPr>
              <w:ind w:left="162"/>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5,832,000/</w:t>
            </w:r>
          </w:p>
          <w:p w:rsidR="006D2639" w:rsidRPr="00345A5A" w:rsidRDefault="006D2639" w:rsidP="00D46469">
            <w:pPr>
              <w:ind w:left="162"/>
              <w:jc w:val="both"/>
              <w:rPr>
                <w:rFonts w:asciiTheme="minorHAnsi" w:hAnsiTheme="minorHAnsi" w:cstheme="minorHAnsi"/>
                <w:sz w:val="20"/>
                <w:szCs w:val="20"/>
              </w:rPr>
            </w:pPr>
            <w:r w:rsidRPr="00345A5A">
              <w:rPr>
                <w:rFonts w:asciiTheme="minorHAnsi" w:hAnsiTheme="minorHAnsi" w:cstheme="minorHAnsi"/>
                <w:sz w:val="20"/>
                <w:szCs w:val="20"/>
              </w:rPr>
              <w:t>USD 255.8</w:t>
            </w:r>
          </w:p>
        </w:tc>
        <w:tc>
          <w:tcPr>
            <w:tcW w:w="1620" w:type="dxa"/>
            <w:shd w:val="clear" w:color="auto" w:fill="FCFFDC" w:themeFill="accent4" w:themeFillTint="1A"/>
            <w:noWrap/>
            <w:vAlign w:val="bottom"/>
          </w:tcPr>
          <w:p w:rsidR="006D2639" w:rsidRPr="00345A5A" w:rsidRDefault="006D2639" w:rsidP="00D46469">
            <w:pPr>
              <w:ind w:left="162"/>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3,049,000/</w:t>
            </w:r>
          </w:p>
          <w:p w:rsidR="006D2639" w:rsidRPr="00345A5A" w:rsidRDefault="006D2639" w:rsidP="00D46469">
            <w:pPr>
              <w:ind w:left="162"/>
              <w:jc w:val="both"/>
              <w:rPr>
                <w:rFonts w:asciiTheme="minorHAnsi" w:hAnsiTheme="minorHAnsi" w:cstheme="minorHAnsi"/>
                <w:sz w:val="20"/>
                <w:szCs w:val="20"/>
              </w:rPr>
            </w:pPr>
            <w:r w:rsidRPr="00345A5A">
              <w:rPr>
                <w:rFonts w:asciiTheme="minorHAnsi" w:hAnsiTheme="minorHAnsi" w:cstheme="minorHAnsi"/>
                <w:sz w:val="20"/>
                <w:szCs w:val="20"/>
              </w:rPr>
              <w:t>USD 133.7</w:t>
            </w:r>
          </w:p>
        </w:tc>
        <w:tc>
          <w:tcPr>
            <w:tcW w:w="1638" w:type="dxa"/>
            <w:shd w:val="clear" w:color="auto" w:fill="FAFFAA" w:themeFill="accent4" w:themeFillTint="40"/>
            <w:noWrap/>
            <w:vAlign w:val="bottom"/>
          </w:tcPr>
          <w:p w:rsidR="006D2639" w:rsidRPr="00345A5A" w:rsidRDefault="006D2639" w:rsidP="00D46469">
            <w:pPr>
              <w:ind w:left="162"/>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5,082,000/</w:t>
            </w:r>
          </w:p>
          <w:p w:rsidR="006D2639" w:rsidRPr="00345A5A" w:rsidRDefault="006D2639" w:rsidP="00D46469">
            <w:pPr>
              <w:ind w:left="162"/>
              <w:jc w:val="both"/>
              <w:rPr>
                <w:rFonts w:asciiTheme="minorHAnsi" w:hAnsiTheme="minorHAnsi" w:cstheme="minorHAnsi"/>
                <w:sz w:val="20"/>
                <w:szCs w:val="20"/>
              </w:rPr>
            </w:pPr>
            <w:r w:rsidRPr="00345A5A">
              <w:rPr>
                <w:rFonts w:asciiTheme="minorHAnsi" w:hAnsiTheme="minorHAnsi" w:cstheme="minorHAnsi"/>
                <w:sz w:val="20"/>
                <w:szCs w:val="20"/>
              </w:rPr>
              <w:t>USD 222.9</w:t>
            </w:r>
          </w:p>
        </w:tc>
        <w:tc>
          <w:tcPr>
            <w:tcW w:w="1512" w:type="dxa"/>
            <w:shd w:val="clear" w:color="auto" w:fill="FAFFAA" w:themeFill="accent4" w:themeFillTint="40"/>
            <w:noWrap/>
            <w:vAlign w:val="bottom"/>
          </w:tcPr>
          <w:p w:rsidR="006D2639" w:rsidRPr="00345A5A" w:rsidRDefault="006D2639" w:rsidP="00D46469">
            <w:pPr>
              <w:ind w:left="126"/>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2,299,000/</w:t>
            </w:r>
          </w:p>
          <w:p w:rsidR="006D2639" w:rsidRPr="00345A5A" w:rsidRDefault="006D2639" w:rsidP="00D46469">
            <w:pPr>
              <w:ind w:left="126"/>
              <w:jc w:val="both"/>
              <w:rPr>
                <w:rFonts w:asciiTheme="minorHAnsi" w:hAnsiTheme="minorHAnsi" w:cstheme="minorHAnsi"/>
                <w:sz w:val="20"/>
                <w:szCs w:val="20"/>
              </w:rPr>
            </w:pPr>
            <w:r w:rsidRPr="00345A5A">
              <w:rPr>
                <w:rFonts w:asciiTheme="minorHAnsi" w:hAnsiTheme="minorHAnsi" w:cstheme="minorHAnsi"/>
                <w:sz w:val="20"/>
                <w:szCs w:val="20"/>
              </w:rPr>
              <w:t>USD 100.8</w:t>
            </w:r>
          </w:p>
        </w:tc>
      </w:tr>
      <w:tr w:rsidR="00D46469" w:rsidRPr="00345A5A" w:rsidTr="00D46469">
        <w:trPr>
          <w:trHeight w:val="270"/>
        </w:trPr>
        <w:tc>
          <w:tcPr>
            <w:tcW w:w="1278" w:type="dxa"/>
            <w:shd w:val="clear" w:color="auto" w:fill="FAFFAA" w:themeFill="accent4" w:themeFillTint="40"/>
            <w:noWrap/>
            <w:vAlign w:val="bottom"/>
            <w:hideMark/>
          </w:tcPr>
          <w:p w:rsidR="006D2639" w:rsidRPr="00345A5A" w:rsidRDefault="001F16D7" w:rsidP="00D46469">
            <w:pPr>
              <w:ind w:left="90"/>
              <w:jc w:val="both"/>
              <w:rPr>
                <w:rFonts w:asciiTheme="minorHAnsi" w:hAnsiTheme="minorHAnsi" w:cstheme="minorHAnsi"/>
                <w:sz w:val="20"/>
                <w:szCs w:val="20"/>
              </w:rPr>
            </w:pPr>
            <w:proofErr w:type="spellStart"/>
            <w:r>
              <w:rPr>
                <w:rFonts w:asciiTheme="minorHAnsi" w:hAnsiTheme="minorHAnsi" w:cstheme="minorHAnsi"/>
                <w:sz w:val="20"/>
                <w:szCs w:val="20"/>
              </w:rPr>
              <w:t>USD</w:t>
            </w:r>
            <w:r w:rsidR="006D2639" w:rsidRPr="00345A5A">
              <w:rPr>
                <w:rFonts w:asciiTheme="minorHAnsi" w:hAnsiTheme="minorHAnsi" w:cstheme="minorHAnsi"/>
                <w:sz w:val="20"/>
                <w:szCs w:val="20"/>
              </w:rPr>
              <w:t>10,000</w:t>
            </w:r>
            <w:proofErr w:type="spellEnd"/>
            <w:r w:rsidR="006D2639" w:rsidRPr="00345A5A">
              <w:rPr>
                <w:rFonts w:asciiTheme="minorHAnsi" w:hAnsiTheme="minorHAnsi" w:cstheme="minorHAnsi"/>
                <w:sz w:val="20"/>
                <w:szCs w:val="20"/>
              </w:rPr>
              <w:t xml:space="preserve"> </w:t>
            </w:r>
          </w:p>
        </w:tc>
        <w:tc>
          <w:tcPr>
            <w:tcW w:w="1260" w:type="dxa"/>
            <w:shd w:val="clear" w:color="auto" w:fill="FAFFAA" w:themeFill="accent4" w:themeFillTint="40"/>
            <w:noWrap/>
            <w:vAlign w:val="bottom"/>
          </w:tcPr>
          <w:p w:rsidR="006D2639" w:rsidRPr="00345A5A" w:rsidRDefault="006D2639" w:rsidP="00D46469">
            <w:pPr>
              <w:ind w:left="72"/>
              <w:jc w:val="both"/>
              <w:rPr>
                <w:rFonts w:asciiTheme="minorHAnsi" w:hAnsiTheme="minorHAnsi" w:cstheme="minorHAnsi"/>
                <w:sz w:val="20"/>
                <w:szCs w:val="20"/>
              </w:rPr>
            </w:pPr>
            <w:r w:rsidRPr="00345A5A">
              <w:rPr>
                <w:rFonts w:asciiTheme="minorHAnsi" w:hAnsiTheme="minorHAnsi" w:cstheme="minorHAnsi"/>
                <w:sz w:val="20"/>
                <w:szCs w:val="20"/>
              </w:rPr>
              <w:t>24,200,000</w:t>
            </w:r>
          </w:p>
        </w:tc>
        <w:tc>
          <w:tcPr>
            <w:tcW w:w="1260" w:type="dxa"/>
            <w:shd w:val="clear" w:color="auto" w:fill="FAFFAA" w:themeFill="accent4" w:themeFillTint="40"/>
            <w:noWrap/>
            <w:vAlign w:val="bottom"/>
          </w:tcPr>
          <w:p w:rsidR="006D2639" w:rsidRPr="00345A5A" w:rsidRDefault="006D2639" w:rsidP="00D46469">
            <w:pPr>
              <w:ind w:left="72"/>
              <w:jc w:val="both"/>
              <w:rPr>
                <w:rFonts w:asciiTheme="minorHAnsi" w:hAnsiTheme="minorHAnsi" w:cstheme="minorHAnsi"/>
                <w:sz w:val="20"/>
                <w:szCs w:val="20"/>
              </w:rPr>
            </w:pPr>
            <w:r w:rsidRPr="00345A5A">
              <w:rPr>
                <w:rFonts w:asciiTheme="minorHAnsi" w:hAnsiTheme="minorHAnsi" w:cstheme="minorHAnsi"/>
                <w:sz w:val="20"/>
                <w:szCs w:val="20"/>
              </w:rPr>
              <w:t>75,000,000</w:t>
            </w:r>
          </w:p>
        </w:tc>
        <w:tc>
          <w:tcPr>
            <w:tcW w:w="1242" w:type="dxa"/>
            <w:shd w:val="clear" w:color="auto" w:fill="FCFFDC" w:themeFill="accent4" w:themeFillTint="1A"/>
            <w:noWrap/>
            <w:vAlign w:val="bottom"/>
          </w:tcPr>
          <w:p w:rsidR="006D2639" w:rsidRPr="00345A5A" w:rsidRDefault="006D2639" w:rsidP="00D46469">
            <w:pPr>
              <w:ind w:left="162"/>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5,832,000/</w:t>
            </w:r>
          </w:p>
          <w:p w:rsidR="006D2639" w:rsidRPr="00345A5A" w:rsidRDefault="001F16D7" w:rsidP="00D46469">
            <w:pPr>
              <w:ind w:left="162"/>
              <w:jc w:val="both"/>
              <w:rPr>
                <w:rFonts w:asciiTheme="minorHAnsi" w:hAnsiTheme="minorHAnsi" w:cstheme="minorHAnsi"/>
                <w:sz w:val="20"/>
                <w:szCs w:val="20"/>
              </w:rPr>
            </w:pPr>
            <w:proofErr w:type="spellStart"/>
            <w:r>
              <w:rPr>
                <w:rFonts w:asciiTheme="minorHAnsi" w:hAnsiTheme="minorHAnsi" w:cstheme="minorHAnsi"/>
                <w:sz w:val="20"/>
                <w:szCs w:val="20"/>
              </w:rPr>
              <w:t>USD</w:t>
            </w:r>
            <w:r w:rsidR="006D2639" w:rsidRPr="00345A5A">
              <w:rPr>
                <w:rFonts w:asciiTheme="minorHAnsi" w:hAnsiTheme="minorHAnsi" w:cstheme="minorHAnsi"/>
                <w:sz w:val="20"/>
                <w:szCs w:val="20"/>
              </w:rPr>
              <w:t>255.8</w:t>
            </w:r>
            <w:proofErr w:type="spellEnd"/>
          </w:p>
        </w:tc>
        <w:tc>
          <w:tcPr>
            <w:tcW w:w="1620" w:type="dxa"/>
            <w:shd w:val="clear" w:color="auto" w:fill="FCFFDC" w:themeFill="accent4" w:themeFillTint="1A"/>
            <w:noWrap/>
            <w:vAlign w:val="bottom"/>
          </w:tcPr>
          <w:p w:rsidR="006D2639" w:rsidRPr="00345A5A" w:rsidRDefault="006D2639" w:rsidP="00D46469">
            <w:pPr>
              <w:ind w:left="162"/>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3,049,000/</w:t>
            </w:r>
          </w:p>
          <w:p w:rsidR="006D2639" w:rsidRPr="00345A5A" w:rsidRDefault="001F16D7" w:rsidP="00D46469">
            <w:pPr>
              <w:ind w:left="162"/>
              <w:jc w:val="both"/>
              <w:rPr>
                <w:rFonts w:asciiTheme="minorHAnsi" w:hAnsiTheme="minorHAnsi" w:cstheme="minorHAnsi"/>
                <w:sz w:val="20"/>
                <w:szCs w:val="20"/>
              </w:rPr>
            </w:pPr>
            <w:proofErr w:type="spellStart"/>
            <w:r>
              <w:rPr>
                <w:rFonts w:asciiTheme="minorHAnsi" w:hAnsiTheme="minorHAnsi" w:cstheme="minorHAnsi"/>
                <w:sz w:val="20"/>
                <w:szCs w:val="20"/>
              </w:rPr>
              <w:t>USD</w:t>
            </w:r>
            <w:r w:rsidR="006D2639" w:rsidRPr="00345A5A">
              <w:rPr>
                <w:rFonts w:asciiTheme="minorHAnsi" w:hAnsiTheme="minorHAnsi" w:cstheme="minorHAnsi"/>
                <w:sz w:val="20"/>
                <w:szCs w:val="20"/>
              </w:rPr>
              <w:t>133.7</w:t>
            </w:r>
            <w:proofErr w:type="spellEnd"/>
          </w:p>
        </w:tc>
        <w:tc>
          <w:tcPr>
            <w:tcW w:w="1638" w:type="dxa"/>
            <w:shd w:val="clear" w:color="auto" w:fill="FAFFAA" w:themeFill="accent4" w:themeFillTint="40"/>
            <w:noWrap/>
            <w:vAlign w:val="bottom"/>
          </w:tcPr>
          <w:p w:rsidR="006D2639" w:rsidRPr="00345A5A" w:rsidRDefault="006D2639" w:rsidP="00D46469">
            <w:pPr>
              <w:ind w:left="162"/>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5,082,000/</w:t>
            </w:r>
          </w:p>
          <w:p w:rsidR="006D2639" w:rsidRPr="00345A5A" w:rsidRDefault="001F16D7" w:rsidP="00D46469">
            <w:pPr>
              <w:ind w:left="162"/>
              <w:jc w:val="both"/>
              <w:rPr>
                <w:rFonts w:asciiTheme="minorHAnsi" w:hAnsiTheme="minorHAnsi" w:cstheme="minorHAnsi"/>
                <w:sz w:val="20"/>
                <w:szCs w:val="20"/>
              </w:rPr>
            </w:pPr>
            <w:proofErr w:type="spellStart"/>
            <w:r>
              <w:rPr>
                <w:rFonts w:asciiTheme="minorHAnsi" w:hAnsiTheme="minorHAnsi" w:cstheme="minorHAnsi"/>
                <w:sz w:val="20"/>
                <w:szCs w:val="20"/>
              </w:rPr>
              <w:t>USD</w:t>
            </w:r>
            <w:r w:rsidR="006D2639" w:rsidRPr="00345A5A">
              <w:rPr>
                <w:rFonts w:asciiTheme="minorHAnsi" w:hAnsiTheme="minorHAnsi" w:cstheme="minorHAnsi"/>
                <w:sz w:val="20"/>
                <w:szCs w:val="20"/>
              </w:rPr>
              <w:t>222.9</w:t>
            </w:r>
            <w:proofErr w:type="spellEnd"/>
          </w:p>
        </w:tc>
        <w:tc>
          <w:tcPr>
            <w:tcW w:w="1512" w:type="dxa"/>
            <w:shd w:val="clear" w:color="auto" w:fill="FAFFAA" w:themeFill="accent4" w:themeFillTint="40"/>
            <w:noWrap/>
            <w:vAlign w:val="bottom"/>
          </w:tcPr>
          <w:p w:rsidR="006D2639" w:rsidRPr="00345A5A" w:rsidRDefault="006D2639" w:rsidP="00D46469">
            <w:pPr>
              <w:ind w:left="126"/>
              <w:jc w:val="both"/>
              <w:rPr>
                <w:rFonts w:asciiTheme="minorHAnsi" w:hAnsiTheme="minorHAnsi" w:cstheme="minorHAnsi"/>
                <w:sz w:val="20"/>
                <w:szCs w:val="20"/>
              </w:rPr>
            </w:pPr>
            <w:proofErr w:type="spellStart"/>
            <w:r w:rsidRPr="00345A5A">
              <w:rPr>
                <w:rFonts w:asciiTheme="minorHAnsi" w:hAnsiTheme="minorHAnsi" w:cstheme="minorHAnsi"/>
                <w:sz w:val="20"/>
                <w:szCs w:val="20"/>
              </w:rPr>
              <w:t>VND</w:t>
            </w:r>
            <w:proofErr w:type="spellEnd"/>
            <w:r w:rsidRPr="00345A5A">
              <w:rPr>
                <w:rFonts w:asciiTheme="minorHAnsi" w:hAnsiTheme="minorHAnsi" w:cstheme="minorHAnsi"/>
                <w:sz w:val="20"/>
                <w:szCs w:val="20"/>
              </w:rPr>
              <w:t xml:space="preserve"> 2,299,000/</w:t>
            </w:r>
          </w:p>
          <w:p w:rsidR="006D2639" w:rsidRPr="00345A5A" w:rsidRDefault="001F16D7" w:rsidP="00D46469">
            <w:pPr>
              <w:ind w:left="126"/>
              <w:jc w:val="both"/>
              <w:rPr>
                <w:rFonts w:asciiTheme="minorHAnsi" w:hAnsiTheme="minorHAnsi" w:cstheme="minorHAnsi"/>
                <w:sz w:val="20"/>
                <w:szCs w:val="20"/>
              </w:rPr>
            </w:pPr>
            <w:proofErr w:type="spellStart"/>
            <w:r>
              <w:rPr>
                <w:rFonts w:asciiTheme="minorHAnsi" w:hAnsiTheme="minorHAnsi" w:cstheme="minorHAnsi"/>
                <w:sz w:val="20"/>
                <w:szCs w:val="20"/>
              </w:rPr>
              <w:t>USD</w:t>
            </w:r>
            <w:r w:rsidR="006D2639" w:rsidRPr="00345A5A">
              <w:rPr>
                <w:rFonts w:asciiTheme="minorHAnsi" w:hAnsiTheme="minorHAnsi" w:cstheme="minorHAnsi"/>
                <w:sz w:val="20"/>
                <w:szCs w:val="20"/>
              </w:rPr>
              <w:t>100.8</w:t>
            </w:r>
            <w:proofErr w:type="spellEnd"/>
          </w:p>
        </w:tc>
      </w:tr>
    </w:tbl>
    <w:p w:rsidR="006D2639" w:rsidRPr="003006D1" w:rsidRDefault="006D2639" w:rsidP="00D46469">
      <w:pPr>
        <w:pStyle w:val="BodyText"/>
        <w:tabs>
          <w:tab w:val="left" w:pos="990"/>
        </w:tabs>
        <w:spacing w:after="0" w:line="240" w:lineRule="auto"/>
        <w:ind w:left="360"/>
        <w:jc w:val="both"/>
        <w:rPr>
          <w:rFonts w:asciiTheme="minorHAnsi" w:hAnsiTheme="minorHAnsi" w:cstheme="minorHAnsi"/>
        </w:rPr>
      </w:pPr>
    </w:p>
    <w:p w:rsidR="00DF3DB7" w:rsidRDefault="00DF3DB7" w:rsidP="00D46469">
      <w:pPr>
        <w:pStyle w:val="BodyText"/>
        <w:spacing w:after="0" w:line="240" w:lineRule="auto"/>
        <w:ind w:left="360"/>
        <w:jc w:val="both"/>
        <w:rPr>
          <w:rFonts w:asciiTheme="minorHAnsi" w:hAnsiTheme="minorHAnsi" w:cstheme="minorHAnsi"/>
        </w:rPr>
      </w:pPr>
    </w:p>
    <w:p w:rsidR="006D2639" w:rsidRPr="003006D1" w:rsidRDefault="00EC322D" w:rsidP="00D46469">
      <w:pPr>
        <w:pStyle w:val="BodyText"/>
        <w:spacing w:after="0" w:line="240" w:lineRule="auto"/>
        <w:jc w:val="both"/>
        <w:rPr>
          <w:rFonts w:asciiTheme="minorHAnsi" w:hAnsiTheme="minorHAnsi" w:cstheme="minorHAnsi"/>
        </w:rPr>
      </w:pPr>
      <w:r w:rsidRPr="003006D1">
        <w:rPr>
          <w:rFonts w:asciiTheme="minorHAnsi" w:hAnsiTheme="minorHAnsi" w:cstheme="minorHAnsi"/>
        </w:rPr>
        <w:t>Applying these calculations, a</w:t>
      </w:r>
      <w:r w:rsidR="006D2639" w:rsidRPr="003006D1">
        <w:rPr>
          <w:rFonts w:asciiTheme="minorHAnsi" w:hAnsiTheme="minorHAnsi" w:cstheme="minorHAnsi"/>
        </w:rPr>
        <w:t xml:space="preserve"> combined contribution of  USD$ 323.70 for an employee with wages of </w:t>
      </w:r>
      <w:proofErr w:type="spellStart"/>
      <w:r w:rsidR="006D2639" w:rsidRPr="003006D1">
        <w:rPr>
          <w:rFonts w:asciiTheme="minorHAnsi" w:hAnsiTheme="minorHAnsi" w:cstheme="minorHAnsi"/>
        </w:rPr>
        <w:t>USD$4,000</w:t>
      </w:r>
      <w:proofErr w:type="spellEnd"/>
      <w:r w:rsidR="006D2639" w:rsidRPr="003006D1">
        <w:rPr>
          <w:rFonts w:asciiTheme="minorHAnsi" w:hAnsiTheme="minorHAnsi" w:cstheme="minorHAnsi"/>
        </w:rPr>
        <w:t xml:space="preserve"> per month will be considered burdensome by many, especially if there are any issues with redemption, pay-out and remittance at the end of the contract period. </w:t>
      </w:r>
    </w:p>
    <w:p w:rsidR="00DF3DB7" w:rsidRDefault="00DF3DB7" w:rsidP="00D46469">
      <w:pPr>
        <w:pStyle w:val="BodyText"/>
        <w:spacing w:after="0" w:line="240" w:lineRule="auto"/>
        <w:jc w:val="both"/>
        <w:rPr>
          <w:rFonts w:asciiTheme="minorHAnsi" w:hAnsiTheme="minorHAnsi" w:cstheme="minorHAnsi"/>
        </w:rPr>
      </w:pPr>
    </w:p>
    <w:p w:rsidR="006D2639" w:rsidRPr="003006D1" w:rsidRDefault="00EC322D" w:rsidP="00D46469">
      <w:pPr>
        <w:pStyle w:val="BodyText"/>
        <w:spacing w:after="0" w:line="240" w:lineRule="auto"/>
        <w:jc w:val="both"/>
        <w:rPr>
          <w:rFonts w:asciiTheme="minorHAnsi" w:hAnsiTheme="minorHAnsi" w:cstheme="minorHAnsi"/>
        </w:rPr>
      </w:pPr>
      <w:r w:rsidRPr="003006D1">
        <w:rPr>
          <w:rFonts w:asciiTheme="minorHAnsi" w:hAnsiTheme="minorHAnsi" w:cstheme="minorHAnsi"/>
        </w:rPr>
        <w:t>Moreover, the Draft Decree seems to make mandatory what the Law on Social Insurance had initially held out as an optional benefit.  T</w:t>
      </w:r>
      <w:r w:rsidR="006D2639" w:rsidRPr="003006D1">
        <w:rPr>
          <w:rFonts w:asciiTheme="minorHAnsi" w:hAnsiTheme="minorHAnsi" w:cstheme="minorHAnsi"/>
        </w:rPr>
        <w:t xml:space="preserve">he 2014 Law on Social Insurance provided that from January 1, 2018, to require that foreign employees working in Vietnam under a work permit, practicing certificate, or practicing licence  issued by a competent body of Vietnam </w:t>
      </w:r>
      <w:r w:rsidRPr="003006D1">
        <w:rPr>
          <w:rFonts w:asciiTheme="minorHAnsi" w:hAnsiTheme="minorHAnsi" w:cstheme="minorHAnsi"/>
        </w:rPr>
        <w:t>“</w:t>
      </w:r>
      <w:r w:rsidR="006D2639" w:rsidRPr="003006D1">
        <w:rPr>
          <w:rFonts w:asciiTheme="minorHAnsi" w:hAnsiTheme="minorHAnsi" w:cstheme="minorHAnsi"/>
        </w:rPr>
        <w:t>will be allowed to</w:t>
      </w:r>
      <w:r w:rsidRPr="003006D1">
        <w:rPr>
          <w:rFonts w:asciiTheme="minorHAnsi" w:hAnsiTheme="minorHAnsi" w:cstheme="minorHAnsi"/>
        </w:rPr>
        <w:t>”</w:t>
      </w:r>
      <w:r w:rsidR="006D2639" w:rsidRPr="003006D1">
        <w:rPr>
          <w:rFonts w:asciiTheme="minorHAnsi" w:hAnsiTheme="minorHAnsi" w:cstheme="minorHAnsi"/>
        </w:rPr>
        <w:t xml:space="preserve"> participate in the compulsory social insurance program. However, the </w:t>
      </w:r>
      <w:r w:rsidRPr="003006D1">
        <w:rPr>
          <w:rFonts w:asciiTheme="minorHAnsi" w:hAnsiTheme="minorHAnsi" w:cstheme="minorHAnsi"/>
        </w:rPr>
        <w:t xml:space="preserve">Draft Decree makes it sound more like an obligation than a right </w:t>
      </w:r>
      <w:r w:rsidR="006D2639" w:rsidRPr="003006D1">
        <w:rPr>
          <w:rFonts w:asciiTheme="minorHAnsi" w:hAnsiTheme="minorHAnsi" w:cstheme="minorHAnsi"/>
        </w:rPr>
        <w:t xml:space="preserve">to </w:t>
      </w:r>
      <w:r w:rsidRPr="003006D1">
        <w:rPr>
          <w:rFonts w:asciiTheme="minorHAnsi" w:hAnsiTheme="minorHAnsi" w:cstheme="minorHAnsi"/>
        </w:rPr>
        <w:t>pay into</w:t>
      </w:r>
      <w:r w:rsidR="006D2639" w:rsidRPr="003006D1">
        <w:rPr>
          <w:rFonts w:asciiTheme="minorHAnsi" w:hAnsiTheme="minorHAnsi" w:cstheme="minorHAnsi"/>
        </w:rPr>
        <w:t xml:space="preserve"> the social insurance program.</w:t>
      </w:r>
    </w:p>
    <w:p w:rsidR="00DF3DB7" w:rsidRDefault="00DF3DB7" w:rsidP="00D46469">
      <w:pPr>
        <w:pStyle w:val="BodyText"/>
        <w:spacing w:after="0" w:line="240" w:lineRule="auto"/>
        <w:jc w:val="both"/>
        <w:rPr>
          <w:rFonts w:asciiTheme="minorHAnsi" w:hAnsiTheme="minorHAnsi" w:cstheme="minorHAnsi"/>
        </w:rPr>
      </w:pPr>
    </w:p>
    <w:p w:rsidR="006D2639" w:rsidRDefault="00EC322D" w:rsidP="00D46469">
      <w:pPr>
        <w:pStyle w:val="BodyText"/>
        <w:spacing w:after="0" w:line="240" w:lineRule="auto"/>
        <w:jc w:val="both"/>
        <w:rPr>
          <w:rFonts w:asciiTheme="minorHAnsi" w:hAnsiTheme="minorHAnsi" w:cstheme="minorHAnsi"/>
        </w:rPr>
      </w:pPr>
      <w:r w:rsidRPr="003006D1">
        <w:rPr>
          <w:rFonts w:asciiTheme="minorHAnsi" w:hAnsiTheme="minorHAnsi" w:cstheme="minorHAnsi"/>
        </w:rPr>
        <w:t xml:space="preserve">Adding in this new tax, </w:t>
      </w:r>
      <w:r w:rsidR="006D2639" w:rsidRPr="003006D1">
        <w:rPr>
          <w:rFonts w:asciiTheme="minorHAnsi" w:hAnsiTheme="minorHAnsi" w:cstheme="minorHAnsi"/>
        </w:rPr>
        <w:t>Vietnam's taxes on workers will be among the highest in the region, taking into account the number of taxes, high rates, and broad bases</w:t>
      </w:r>
      <w:r w:rsidRPr="003006D1">
        <w:rPr>
          <w:rFonts w:asciiTheme="minorHAnsi" w:hAnsiTheme="minorHAnsi" w:cstheme="minorHAnsi"/>
        </w:rPr>
        <w:t xml:space="preserve"> (which include not only salary but all forms of benefits)</w:t>
      </w:r>
      <w:r w:rsidR="006D2639" w:rsidRPr="003006D1">
        <w:rPr>
          <w:rFonts w:asciiTheme="minorHAnsi" w:hAnsiTheme="minorHAnsi" w:cstheme="minorHAnsi"/>
        </w:rPr>
        <w:t xml:space="preserve">. </w:t>
      </w:r>
      <w:r w:rsidRPr="003006D1">
        <w:rPr>
          <w:rFonts w:asciiTheme="minorHAnsi" w:hAnsiTheme="minorHAnsi" w:cstheme="minorHAnsi"/>
        </w:rPr>
        <w:t xml:space="preserve">Stakeholder comments were only welcome until June 12th, so it may be too late to reconsider, but to ensure the smooth implementation of this change we would encourage the drafters to consider taking more time to introduce this important change in the </w:t>
      </w:r>
      <w:r w:rsidR="00B82D6F" w:rsidRPr="003006D1">
        <w:rPr>
          <w:rFonts w:asciiTheme="minorHAnsi" w:hAnsiTheme="minorHAnsi" w:cstheme="minorHAnsi"/>
        </w:rPr>
        <w:t>employment environment.  Otherwise, this Draft Decree will come into force on January 1, 2018.</w:t>
      </w:r>
    </w:p>
    <w:p w:rsidR="00DF3DB7" w:rsidRPr="003006D1" w:rsidRDefault="00DF3DB7" w:rsidP="00D46469">
      <w:pPr>
        <w:pStyle w:val="BodyText"/>
        <w:spacing w:after="0" w:line="240" w:lineRule="auto"/>
        <w:jc w:val="both"/>
        <w:rPr>
          <w:rFonts w:asciiTheme="minorHAnsi" w:hAnsiTheme="minorHAnsi" w:cstheme="minorHAnsi"/>
        </w:rPr>
      </w:pPr>
    </w:p>
    <w:p w:rsidR="005C3FCB" w:rsidRPr="00B00C53" w:rsidRDefault="005C3FCB" w:rsidP="00D46469">
      <w:pPr>
        <w:pStyle w:val="Heading2"/>
        <w:spacing w:after="0" w:line="240" w:lineRule="auto"/>
        <w:jc w:val="both"/>
        <w:rPr>
          <w:rFonts w:asciiTheme="minorHAnsi" w:hAnsiTheme="minorHAnsi" w:cstheme="minorHAnsi"/>
        </w:rPr>
      </w:pPr>
      <w:r w:rsidRPr="005C3FCB">
        <w:rPr>
          <w:rFonts w:asciiTheme="minorHAnsi" w:hAnsiTheme="minorHAnsi" w:cstheme="minorHAnsi"/>
        </w:rPr>
        <w:t>Commercial Promotions - Draft Decree Detailing the Law on Commerce regarding Commercial Promotion Activities</w:t>
      </w:r>
    </w:p>
    <w:p w:rsidR="00DF3DB7" w:rsidRDefault="00DF3DB7" w:rsidP="00D46469">
      <w:pPr>
        <w:jc w:val="both"/>
        <w:rPr>
          <w:rFonts w:asciiTheme="minorHAnsi" w:hAnsiTheme="minorHAnsi" w:cstheme="minorHAnsi"/>
          <w:b/>
        </w:rPr>
      </w:pPr>
    </w:p>
    <w:p w:rsidR="005C3FCB" w:rsidRPr="005C3FCB" w:rsidRDefault="005C3FCB" w:rsidP="00D46469">
      <w:pPr>
        <w:jc w:val="both"/>
        <w:rPr>
          <w:rFonts w:asciiTheme="minorHAnsi" w:hAnsiTheme="minorHAnsi" w:cstheme="minorHAnsi"/>
        </w:rPr>
      </w:pPr>
      <w:r w:rsidRPr="005C3FCB">
        <w:rPr>
          <w:rFonts w:asciiTheme="minorHAnsi" w:hAnsiTheme="minorHAnsi" w:cstheme="minorHAnsi"/>
          <w:b/>
        </w:rPr>
        <w:t>Issue</w:t>
      </w:r>
      <w:r w:rsidRPr="005C3FCB">
        <w:rPr>
          <w:rFonts w:asciiTheme="minorHAnsi" w:hAnsiTheme="minorHAnsi" w:cstheme="minorHAnsi"/>
        </w:rPr>
        <w:t>:</w:t>
      </w:r>
    </w:p>
    <w:p w:rsidR="005C3FCB" w:rsidRPr="005C3FCB" w:rsidRDefault="005C3FCB" w:rsidP="00D46469">
      <w:pPr>
        <w:jc w:val="both"/>
        <w:rPr>
          <w:rFonts w:asciiTheme="minorHAnsi" w:hAnsiTheme="minorHAnsi" w:cstheme="minorHAnsi"/>
        </w:rPr>
      </w:pPr>
    </w:p>
    <w:p w:rsidR="005C3FCB" w:rsidRPr="005C3FCB" w:rsidRDefault="008018E6" w:rsidP="00D46469">
      <w:pPr>
        <w:pStyle w:val="BodyText"/>
        <w:spacing w:after="0" w:line="240" w:lineRule="auto"/>
        <w:jc w:val="both"/>
        <w:rPr>
          <w:rFonts w:asciiTheme="minorHAnsi" w:hAnsiTheme="minorHAnsi" w:cstheme="minorHAnsi"/>
        </w:rPr>
      </w:pPr>
      <w:r>
        <w:rPr>
          <w:rFonts w:asciiTheme="minorHAnsi" w:hAnsiTheme="minorHAnsi" w:cstheme="minorHAnsi"/>
        </w:rPr>
        <w:t xml:space="preserve">Around the world, </w:t>
      </w:r>
      <w:r w:rsidR="00292B1A">
        <w:rPr>
          <w:rFonts w:asciiTheme="minorHAnsi" w:hAnsiTheme="minorHAnsi" w:cstheme="minorHAnsi"/>
        </w:rPr>
        <w:t>s</w:t>
      </w:r>
      <w:r w:rsidR="005C3FCB" w:rsidRPr="005C3FCB">
        <w:rPr>
          <w:rFonts w:asciiTheme="minorHAnsi" w:hAnsiTheme="minorHAnsi" w:cstheme="minorHAnsi"/>
        </w:rPr>
        <w:t>ale</w:t>
      </w:r>
      <w:r>
        <w:rPr>
          <w:rFonts w:asciiTheme="minorHAnsi" w:hAnsiTheme="minorHAnsi" w:cstheme="minorHAnsi"/>
        </w:rPr>
        <w:t>s</w:t>
      </w:r>
      <w:r w:rsidR="005C3FCB" w:rsidRPr="005C3FCB">
        <w:rPr>
          <w:rFonts w:asciiTheme="minorHAnsi" w:hAnsiTheme="minorHAnsi" w:cstheme="minorHAnsi"/>
        </w:rPr>
        <w:t xml:space="preserve"> promotions </w:t>
      </w:r>
      <w:r>
        <w:rPr>
          <w:rFonts w:asciiTheme="minorHAnsi" w:hAnsiTheme="minorHAnsi" w:cstheme="minorHAnsi"/>
        </w:rPr>
        <w:t>are</w:t>
      </w:r>
      <w:r w:rsidR="005C3FCB" w:rsidRPr="005C3FCB">
        <w:rPr>
          <w:rFonts w:asciiTheme="minorHAnsi" w:hAnsiTheme="minorHAnsi" w:cstheme="minorHAnsi"/>
        </w:rPr>
        <w:t xml:space="preserve"> a common way to clear products of enterprises, as long as such activities do not violate competition laws, anti-dumping regulations, and consumer protection laws, which are all in place.</w:t>
      </w:r>
    </w:p>
    <w:p w:rsidR="00DF3DB7" w:rsidRDefault="00DF3DB7" w:rsidP="00D46469">
      <w:pPr>
        <w:pStyle w:val="BodyText"/>
        <w:spacing w:after="0" w:line="240" w:lineRule="auto"/>
        <w:jc w:val="both"/>
        <w:rPr>
          <w:rFonts w:asciiTheme="minorHAnsi" w:hAnsiTheme="minorHAnsi" w:cstheme="minorHAnsi"/>
        </w:rPr>
      </w:pPr>
    </w:p>
    <w:p w:rsidR="005C3FCB" w:rsidRPr="005C3FCB" w:rsidRDefault="005C3FCB" w:rsidP="00D46469">
      <w:pPr>
        <w:pStyle w:val="BodyText"/>
        <w:spacing w:after="0" w:line="240" w:lineRule="auto"/>
        <w:jc w:val="both"/>
        <w:rPr>
          <w:rFonts w:asciiTheme="minorHAnsi" w:hAnsiTheme="minorHAnsi" w:cstheme="minorHAnsi"/>
        </w:rPr>
      </w:pPr>
      <w:r w:rsidRPr="005C3FCB">
        <w:rPr>
          <w:rFonts w:asciiTheme="minorHAnsi" w:hAnsiTheme="minorHAnsi" w:cstheme="minorHAnsi"/>
        </w:rPr>
        <w:t xml:space="preserve">Under the current regulations, enterprises wish to conduct sale promotions </w:t>
      </w:r>
      <w:r w:rsidR="008018E6">
        <w:rPr>
          <w:rFonts w:asciiTheme="minorHAnsi" w:hAnsiTheme="minorHAnsi" w:cstheme="minorHAnsi"/>
        </w:rPr>
        <w:t xml:space="preserve">are </w:t>
      </w:r>
      <w:r w:rsidRPr="005C3FCB">
        <w:rPr>
          <w:rFonts w:asciiTheme="minorHAnsi" w:hAnsiTheme="minorHAnsi" w:cstheme="minorHAnsi"/>
        </w:rPr>
        <w:t xml:space="preserve">subject to many restrictions: </w:t>
      </w:r>
      <w:proofErr w:type="spellStart"/>
      <w:r w:rsidRPr="005C3FCB">
        <w:rPr>
          <w:rFonts w:asciiTheme="minorHAnsi" w:hAnsiTheme="minorHAnsi" w:cstheme="minorHAnsi"/>
        </w:rPr>
        <w:t>i</w:t>
      </w:r>
      <w:proofErr w:type="spellEnd"/>
      <w:r w:rsidRPr="005C3FCB">
        <w:rPr>
          <w:rFonts w:asciiTheme="minorHAnsi" w:hAnsiTheme="minorHAnsi" w:cstheme="minorHAnsi"/>
        </w:rPr>
        <w:t>) value cap of 50% of products; ii) time limitation of 90 days per year, and 45 days per launch; iii) onerous notification and registration procedures at 56 provinces and central cities where the sale promotion is offered; and iv) post-event report and contribution to State budget if the sale promotion value is not used up in certain cases (such as lucky draws).</w:t>
      </w:r>
    </w:p>
    <w:p w:rsidR="00413A9A" w:rsidRDefault="00413A9A" w:rsidP="00D46469">
      <w:pPr>
        <w:pStyle w:val="BodyText"/>
        <w:spacing w:after="0" w:line="240" w:lineRule="auto"/>
        <w:jc w:val="both"/>
        <w:rPr>
          <w:rFonts w:asciiTheme="minorHAnsi" w:hAnsiTheme="minorHAnsi" w:cstheme="minorHAnsi"/>
        </w:rPr>
      </w:pPr>
    </w:p>
    <w:p w:rsidR="005C3FCB" w:rsidRPr="005C3FCB" w:rsidRDefault="005C3FCB" w:rsidP="00D46469">
      <w:pPr>
        <w:pStyle w:val="BodyText"/>
        <w:spacing w:after="0" w:line="240" w:lineRule="auto"/>
        <w:jc w:val="both"/>
        <w:rPr>
          <w:rFonts w:asciiTheme="minorHAnsi" w:hAnsiTheme="minorHAnsi" w:cstheme="minorHAnsi"/>
        </w:rPr>
      </w:pPr>
      <w:r w:rsidRPr="005C3FCB">
        <w:rPr>
          <w:rFonts w:asciiTheme="minorHAnsi" w:hAnsiTheme="minorHAnsi" w:cstheme="minorHAnsi"/>
        </w:rPr>
        <w:t>In practice, the costs for complying with these notification and registration procedures can be prohibitive.  For a retailer, which sells hundreds of types of products, notification and post-event report with all provinces can be extremely expensive.</w:t>
      </w:r>
    </w:p>
    <w:p w:rsidR="00DF3DB7" w:rsidRDefault="00DF3DB7" w:rsidP="00D46469">
      <w:pPr>
        <w:pStyle w:val="BodyText"/>
        <w:spacing w:after="0" w:line="240" w:lineRule="auto"/>
        <w:jc w:val="both"/>
        <w:rPr>
          <w:rFonts w:asciiTheme="minorHAnsi" w:hAnsiTheme="minorHAnsi" w:cstheme="minorHAnsi"/>
          <w:b/>
        </w:rPr>
      </w:pPr>
    </w:p>
    <w:p w:rsidR="005C3FCB" w:rsidRPr="005C3FCB" w:rsidRDefault="005C3FCB" w:rsidP="00D46469">
      <w:pPr>
        <w:pStyle w:val="BodyText"/>
        <w:spacing w:after="0" w:line="240" w:lineRule="auto"/>
        <w:jc w:val="both"/>
        <w:rPr>
          <w:rFonts w:asciiTheme="minorHAnsi" w:hAnsiTheme="minorHAnsi" w:cstheme="minorHAnsi"/>
        </w:rPr>
      </w:pPr>
      <w:r w:rsidRPr="005C3FCB">
        <w:rPr>
          <w:rFonts w:asciiTheme="minorHAnsi" w:hAnsiTheme="minorHAnsi" w:cstheme="minorHAnsi"/>
          <w:b/>
        </w:rPr>
        <w:t>Suggestion</w:t>
      </w:r>
      <w:r w:rsidRPr="005C3FCB">
        <w:rPr>
          <w:rFonts w:asciiTheme="minorHAnsi" w:hAnsiTheme="minorHAnsi" w:cstheme="minorHAnsi"/>
        </w:rPr>
        <w:t>:</w:t>
      </w:r>
    </w:p>
    <w:p w:rsidR="00DF3DB7" w:rsidRDefault="00DF3DB7" w:rsidP="00D46469">
      <w:pPr>
        <w:pStyle w:val="BodyText"/>
        <w:spacing w:after="0" w:line="240" w:lineRule="auto"/>
        <w:jc w:val="both"/>
        <w:rPr>
          <w:rFonts w:asciiTheme="minorHAnsi" w:hAnsiTheme="minorHAnsi" w:cstheme="minorHAnsi"/>
        </w:rPr>
      </w:pPr>
    </w:p>
    <w:p w:rsidR="005C3FCB" w:rsidRDefault="005C3FCB" w:rsidP="00D46469">
      <w:pPr>
        <w:pStyle w:val="BodyText"/>
        <w:spacing w:after="0" w:line="240" w:lineRule="auto"/>
        <w:jc w:val="both"/>
        <w:rPr>
          <w:rFonts w:asciiTheme="minorHAnsi" w:hAnsiTheme="minorHAnsi" w:cstheme="minorHAnsi"/>
        </w:rPr>
      </w:pPr>
      <w:r w:rsidRPr="005C3FCB">
        <w:rPr>
          <w:rFonts w:asciiTheme="minorHAnsi" w:hAnsiTheme="minorHAnsi" w:cstheme="minorHAnsi"/>
        </w:rPr>
        <w:t>Draft decree replacing Decree 37/2006 on sales promotions should eliminate the unreasonable restrictions and procedures, which shall reduce costs for enterprises and benefit consumers.</w:t>
      </w:r>
    </w:p>
    <w:p w:rsidR="00DF3DB7" w:rsidRDefault="00DF3DB7" w:rsidP="00D46469">
      <w:pPr>
        <w:pStyle w:val="BodyText"/>
        <w:spacing w:after="0" w:line="240" w:lineRule="auto"/>
        <w:jc w:val="both"/>
        <w:rPr>
          <w:rFonts w:asciiTheme="minorHAnsi" w:hAnsiTheme="minorHAnsi" w:cstheme="minorHAnsi"/>
        </w:rPr>
      </w:pPr>
    </w:p>
    <w:p w:rsidR="000F3F37" w:rsidRDefault="00B00C53" w:rsidP="00D46469">
      <w:pPr>
        <w:pStyle w:val="Heading2"/>
        <w:spacing w:after="0" w:line="240" w:lineRule="auto"/>
        <w:jc w:val="both"/>
        <w:rPr>
          <w:rFonts w:ascii="Times New Roman" w:hAnsi="Times New Roman"/>
        </w:rPr>
      </w:pPr>
      <w:r w:rsidRPr="00B00C53">
        <w:rPr>
          <w:rFonts w:ascii="Times New Roman" w:hAnsi="Times New Roman"/>
        </w:rPr>
        <w:t>Importation of used/refurbished machinery and equipment - Draft Circular replacing Circular No. 23/2015/</w:t>
      </w:r>
      <w:proofErr w:type="spellStart"/>
      <w:r w:rsidRPr="00B00C53">
        <w:rPr>
          <w:rFonts w:ascii="Times New Roman" w:hAnsi="Times New Roman"/>
        </w:rPr>
        <w:t>TT-BKHCN</w:t>
      </w:r>
      <w:proofErr w:type="spellEnd"/>
    </w:p>
    <w:p w:rsidR="00DF3DB7" w:rsidRPr="00DF3DB7" w:rsidRDefault="00DF3DB7" w:rsidP="00D46469">
      <w:pPr>
        <w:pStyle w:val="BodyText"/>
        <w:spacing w:after="0" w:line="240" w:lineRule="auto"/>
      </w:pPr>
    </w:p>
    <w:p w:rsidR="00B00C53" w:rsidRPr="00B00C53" w:rsidRDefault="00B00C53" w:rsidP="00D46469">
      <w:pPr>
        <w:contextualSpacing/>
        <w:jc w:val="both"/>
        <w:rPr>
          <w:rFonts w:asciiTheme="minorHAnsi" w:hAnsiTheme="minorHAnsi" w:cstheme="minorHAnsi"/>
          <w:b/>
        </w:rPr>
      </w:pPr>
      <w:r>
        <w:rPr>
          <w:rFonts w:asciiTheme="minorHAnsi" w:hAnsiTheme="minorHAnsi" w:cstheme="minorHAnsi"/>
          <w:b/>
        </w:rPr>
        <w:t>a</w:t>
      </w:r>
      <w:r w:rsidRPr="00B00C53">
        <w:rPr>
          <w:rFonts w:asciiTheme="minorHAnsi" w:hAnsiTheme="minorHAnsi" w:cstheme="minorHAnsi"/>
          <w:b/>
        </w:rPr>
        <w:t>. Scope of management (Article 1)</w:t>
      </w:r>
    </w:p>
    <w:p w:rsidR="00B00C53" w:rsidRPr="00B00C53" w:rsidRDefault="00B00C53" w:rsidP="00D46469">
      <w:pPr>
        <w:contextualSpacing/>
        <w:jc w:val="both"/>
        <w:rPr>
          <w:rFonts w:asciiTheme="minorHAnsi" w:hAnsiTheme="minorHAnsi" w:cstheme="minorHAnsi"/>
          <w:b/>
        </w:rPr>
      </w:pPr>
    </w:p>
    <w:p w:rsidR="00B00C53" w:rsidRPr="00B00C53" w:rsidRDefault="00B00C53" w:rsidP="00D46469">
      <w:pPr>
        <w:contextualSpacing/>
        <w:jc w:val="both"/>
        <w:rPr>
          <w:rFonts w:asciiTheme="minorHAnsi" w:hAnsiTheme="minorHAnsi" w:cstheme="minorHAnsi"/>
        </w:rPr>
      </w:pPr>
      <w:r w:rsidRPr="00DF3DB7">
        <w:rPr>
          <w:rFonts w:asciiTheme="minorHAnsi" w:hAnsiTheme="minorHAnsi" w:cstheme="minorHAnsi"/>
          <w:b/>
          <w:i/>
        </w:rPr>
        <w:t>Issue:</w:t>
      </w:r>
      <w:r w:rsidRPr="00B00C53">
        <w:rPr>
          <w:rFonts w:asciiTheme="minorHAnsi" w:hAnsiTheme="minorHAnsi" w:cstheme="minorHAnsi"/>
          <w:i/>
        </w:rPr>
        <w:t xml:space="preserve"> </w:t>
      </w:r>
      <w:r w:rsidR="00463D83">
        <w:rPr>
          <w:rFonts w:asciiTheme="minorHAnsi" w:hAnsiTheme="minorHAnsi" w:cstheme="minorHAnsi"/>
          <w:i/>
        </w:rPr>
        <w:t xml:space="preserve">The new draft circular on the importation of used equipment is not an improvement on the </w:t>
      </w:r>
      <w:r w:rsidR="000747B8">
        <w:rPr>
          <w:rFonts w:asciiTheme="minorHAnsi" w:hAnsiTheme="minorHAnsi" w:cstheme="minorHAnsi"/>
          <w:i/>
        </w:rPr>
        <w:t>current</w:t>
      </w:r>
      <w:r w:rsidR="00292B1A">
        <w:rPr>
          <w:rFonts w:asciiTheme="minorHAnsi" w:hAnsiTheme="minorHAnsi" w:cstheme="minorHAnsi"/>
          <w:i/>
        </w:rPr>
        <w:t>,</w:t>
      </w:r>
      <w:r w:rsidR="00463D83">
        <w:rPr>
          <w:rFonts w:asciiTheme="minorHAnsi" w:hAnsiTheme="minorHAnsi" w:cstheme="minorHAnsi"/>
          <w:i/>
        </w:rPr>
        <w:t xml:space="preserve"> problematic rules. First, the new</w:t>
      </w:r>
      <w:r w:rsidRPr="00B00C53">
        <w:rPr>
          <w:rFonts w:asciiTheme="minorHAnsi" w:hAnsiTheme="minorHAnsi" w:cstheme="minorHAnsi"/>
          <w:i/>
        </w:rPr>
        <w:t xml:space="preserve"> draft extends restrictions to certain types of temporary imports for re-export </w:t>
      </w:r>
    </w:p>
    <w:p w:rsidR="00B00C53" w:rsidRPr="00B00C53" w:rsidRDefault="00B00C53" w:rsidP="00D46469">
      <w:pPr>
        <w:contextualSpacing/>
        <w:jc w:val="both"/>
        <w:rPr>
          <w:rFonts w:asciiTheme="minorHAnsi" w:hAnsiTheme="minorHAnsi" w:cstheme="minorHAnsi"/>
        </w:rPr>
      </w:pPr>
    </w:p>
    <w:p w:rsidR="00B00C53" w:rsidRPr="00B00C53" w:rsidRDefault="000747B8" w:rsidP="00D46469">
      <w:pPr>
        <w:contextualSpacing/>
        <w:jc w:val="both"/>
        <w:rPr>
          <w:rFonts w:asciiTheme="minorHAnsi" w:hAnsiTheme="minorHAnsi" w:cstheme="minorHAnsi"/>
        </w:rPr>
      </w:pPr>
      <w:r>
        <w:rPr>
          <w:rFonts w:asciiTheme="minorHAnsi" w:hAnsiTheme="minorHAnsi" w:cstheme="minorHAnsi"/>
        </w:rPr>
        <w:t>Under</w:t>
      </w:r>
      <w:r w:rsidR="00B00C53" w:rsidRPr="00B00C53">
        <w:rPr>
          <w:rFonts w:asciiTheme="minorHAnsi" w:hAnsiTheme="minorHAnsi" w:cstheme="minorHAnsi"/>
        </w:rPr>
        <w:t xml:space="preserve"> the current Circular No. 23, </w:t>
      </w:r>
      <w:r w:rsidR="00463D83">
        <w:rPr>
          <w:rFonts w:asciiTheme="minorHAnsi" w:hAnsiTheme="minorHAnsi" w:cstheme="minorHAnsi"/>
        </w:rPr>
        <w:t xml:space="preserve">the </w:t>
      </w:r>
      <w:r w:rsidR="00B00C53" w:rsidRPr="00B00C53">
        <w:rPr>
          <w:rFonts w:asciiTheme="minorHAnsi" w:hAnsiTheme="minorHAnsi" w:cstheme="minorHAnsi"/>
        </w:rPr>
        <w:t xml:space="preserve">restriction only applies to temporary imports for re-export for implementation of toll manufacturing contracts, production or implementation of investment projects. </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Nonetheless, the draft extends the age restriction to other types of temporary imports for re-export by only excluding the business of temporary imports for re-export out of the scope of its management. This means that if the draft enters into force, temporary imports for re-export for exhibitions, conferences, training and certain other purposes would be subject to the same restrictions.</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 xml:space="preserve">Such extension is not consistent with the main principle of this draft, which is to manage used machinery/equipment in production and business operations as set forth in Article 1.1 of the draft. </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 xml:space="preserve">Further, that the draft imposes such restriction to the aforementioned activities would cause difficulties for enterprises in operating their businesses as enterprises do not need to temporarily import new machinery/equipment for such purposes (i.e. exhibitions, conferences, training). In other words, the Vietnamese government is burdening enterprises' operations by pushing them to arrange more financial resources for activities that do not harm the environment. </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b/>
          <w:i/>
        </w:rPr>
        <w:t>Proposal:</w:t>
      </w:r>
      <w:r w:rsidRPr="00B00C53">
        <w:rPr>
          <w:rFonts w:asciiTheme="minorHAnsi" w:hAnsiTheme="minorHAnsi" w:cstheme="minorHAnsi"/>
        </w:rPr>
        <w:t xml:space="preserve"> We suggest keeping the same scope of management as regulated under Circular No. 23</w:t>
      </w:r>
      <w:r w:rsidR="00463D83">
        <w:rPr>
          <w:rFonts w:asciiTheme="minorHAnsi" w:hAnsiTheme="minorHAnsi" w:cstheme="minorHAnsi"/>
        </w:rPr>
        <w:t xml:space="preserve"> or, better yet, leave the issue to more relevant authorities</w:t>
      </w:r>
      <w:r w:rsidRPr="00B00C53">
        <w:rPr>
          <w:rFonts w:asciiTheme="minorHAnsi" w:hAnsiTheme="minorHAnsi" w:cstheme="minorHAnsi"/>
        </w:rPr>
        <w:t>.</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Pr>
          <w:rFonts w:asciiTheme="minorHAnsi" w:hAnsiTheme="minorHAnsi" w:cstheme="minorHAnsi"/>
          <w:b/>
        </w:rPr>
        <w:t>b</w:t>
      </w:r>
      <w:r w:rsidRPr="00B00C53">
        <w:rPr>
          <w:rFonts w:asciiTheme="minorHAnsi" w:hAnsiTheme="minorHAnsi" w:cstheme="minorHAnsi"/>
          <w:b/>
        </w:rPr>
        <w:t>. Requirements applied to Used Machinery/Equipment in Investment Projects (Article 7)</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i/>
        </w:rPr>
      </w:pPr>
      <w:r w:rsidRPr="00DF3DB7">
        <w:rPr>
          <w:rFonts w:asciiTheme="minorHAnsi" w:hAnsiTheme="minorHAnsi" w:cstheme="minorHAnsi"/>
          <w:b/>
          <w:i/>
        </w:rPr>
        <w:t>Issue:</w:t>
      </w:r>
      <w:r w:rsidRPr="00B00C53">
        <w:rPr>
          <w:rFonts w:asciiTheme="minorHAnsi" w:hAnsiTheme="minorHAnsi" w:cstheme="minorHAnsi"/>
          <w:i/>
        </w:rPr>
        <w:t xml:space="preserve"> New requirements applied to Used Machinery/Equipment in Investment Projects</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 xml:space="preserve">The draft is </w:t>
      </w:r>
      <w:r w:rsidR="00463D83">
        <w:rPr>
          <w:rFonts w:asciiTheme="minorHAnsi" w:hAnsiTheme="minorHAnsi" w:cstheme="minorHAnsi"/>
        </w:rPr>
        <w:t xml:space="preserve">also </w:t>
      </w:r>
      <w:r w:rsidRPr="00B00C53">
        <w:rPr>
          <w:rFonts w:asciiTheme="minorHAnsi" w:hAnsiTheme="minorHAnsi" w:cstheme="minorHAnsi"/>
        </w:rPr>
        <w:t>a step backward as compared to Circular No. 23 as used machinery/equipment in investment projects no longer receive exemptions from the age requirement as set forth in Circular No. 23.</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 xml:space="preserve">Given the overall policies to attract foreign investment, and the purpose of environmental protection, we take the view that the new requirements applied to </w:t>
      </w:r>
      <w:proofErr w:type="gramStart"/>
      <w:r w:rsidRPr="00B00C53">
        <w:rPr>
          <w:rFonts w:asciiTheme="minorHAnsi" w:hAnsiTheme="minorHAnsi" w:cstheme="minorHAnsi"/>
        </w:rPr>
        <w:t>used</w:t>
      </w:r>
      <w:proofErr w:type="gramEnd"/>
      <w:r w:rsidRPr="00B00C53">
        <w:rPr>
          <w:rFonts w:asciiTheme="minorHAnsi" w:hAnsiTheme="minorHAnsi" w:cstheme="minorHAnsi"/>
        </w:rPr>
        <w:t xml:space="preserve"> machinery/equipment in investment projects are not practical as Vietnam has established standards and regulations to manage and supervise the environmental impact of imported machinery/equipment. As such, it is not necessary to impose further barriers to used machinery/equipment in investment projects.</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 xml:space="preserve">Nonetheless, among three Options as proposed in the draft, we are inclined to </w:t>
      </w:r>
      <w:proofErr w:type="spellStart"/>
      <w:r w:rsidRPr="00B00C53">
        <w:rPr>
          <w:rFonts w:asciiTheme="minorHAnsi" w:hAnsiTheme="minorHAnsi" w:cstheme="minorHAnsi"/>
        </w:rPr>
        <w:t>favor</w:t>
      </w:r>
      <w:proofErr w:type="spellEnd"/>
      <w:r w:rsidRPr="00B00C53">
        <w:rPr>
          <w:rFonts w:asciiTheme="minorHAnsi" w:hAnsiTheme="minorHAnsi" w:cstheme="minorHAnsi"/>
        </w:rPr>
        <w:t xml:space="preserve"> Option 1 as Option 2 and Option 3 may cause certain difficulties during implementation. </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Particularly, for Option 2, given the variety of machinery/equipment, it may be not be consistent to determine which parts are the "main parts" of a given production chain. Also, it may not be applicable to the importation of a single machine. The appraisal to determine the remaining age would burdensome if the criteria and standard to define remaining age are not clear.</w:t>
      </w:r>
    </w:p>
    <w:p w:rsidR="00B00C53" w:rsidRPr="00B00C53" w:rsidRDefault="00B00C53" w:rsidP="00D46469">
      <w:pPr>
        <w:contextualSpacing/>
        <w:jc w:val="both"/>
        <w:rPr>
          <w:rFonts w:asciiTheme="minorHAnsi" w:hAnsiTheme="minorHAnsi" w:cstheme="minorHAnsi"/>
        </w:rPr>
      </w:pPr>
    </w:p>
    <w:p w:rsidR="00B00C53" w:rsidRDefault="00B00C53" w:rsidP="00D46469">
      <w:pPr>
        <w:contextualSpacing/>
        <w:jc w:val="both"/>
        <w:rPr>
          <w:rFonts w:asciiTheme="minorHAnsi" w:hAnsiTheme="minorHAnsi" w:cstheme="minorHAnsi"/>
        </w:rPr>
      </w:pPr>
      <w:r w:rsidRPr="00B00C53">
        <w:rPr>
          <w:rFonts w:asciiTheme="minorHAnsi" w:hAnsiTheme="minorHAnsi" w:cstheme="minorHAnsi"/>
        </w:rPr>
        <w:t xml:space="preserve">For Option 3, the appraisal to determine the remaining value would also prove to be a burdensome process as it depends on the appraisal of each testing agency, and </w:t>
      </w:r>
      <w:r w:rsidR="000747B8">
        <w:rPr>
          <w:rFonts w:asciiTheme="minorHAnsi" w:hAnsiTheme="minorHAnsi" w:cstheme="minorHAnsi"/>
        </w:rPr>
        <w:t xml:space="preserve">such appraisal may not be consistent </w:t>
      </w:r>
      <w:r w:rsidRPr="00B00C53">
        <w:rPr>
          <w:rFonts w:asciiTheme="minorHAnsi" w:hAnsiTheme="minorHAnsi" w:cstheme="minorHAnsi"/>
        </w:rPr>
        <w:t>if the criteria and standard to define remaining value are not clear.</w:t>
      </w:r>
    </w:p>
    <w:p w:rsidR="00DF3DB7" w:rsidRPr="00B00C53" w:rsidRDefault="00DF3DB7" w:rsidP="00D46469">
      <w:pPr>
        <w:contextualSpacing/>
        <w:jc w:val="both"/>
        <w:rPr>
          <w:rFonts w:asciiTheme="minorHAnsi" w:hAnsiTheme="minorHAnsi" w:cstheme="minorHAnsi"/>
        </w:rPr>
      </w:pPr>
    </w:p>
    <w:p w:rsidR="00B00C53" w:rsidRPr="00B00C53" w:rsidRDefault="00B00C53" w:rsidP="00D46469">
      <w:pPr>
        <w:jc w:val="both"/>
        <w:rPr>
          <w:rFonts w:asciiTheme="minorHAnsi" w:hAnsiTheme="minorHAnsi" w:cstheme="minorHAnsi"/>
        </w:rPr>
      </w:pPr>
      <w:r w:rsidRPr="00B00C53">
        <w:rPr>
          <w:rFonts w:asciiTheme="minorHAnsi" w:hAnsiTheme="minorHAnsi" w:cstheme="minorHAnsi"/>
        </w:rPr>
        <w:t xml:space="preserve">Also, we propose to extend the age requirement in Option 1 to 25 years, instead of 20 years. Practically, machinery/equipment, especially those with </w:t>
      </w:r>
      <w:proofErr w:type="spellStart"/>
      <w:r w:rsidRPr="00B00C53">
        <w:rPr>
          <w:rFonts w:asciiTheme="minorHAnsi" w:hAnsiTheme="minorHAnsi" w:cstheme="minorHAnsi"/>
        </w:rPr>
        <w:t>G7</w:t>
      </w:r>
      <w:proofErr w:type="spellEnd"/>
      <w:r w:rsidRPr="00B00C53">
        <w:rPr>
          <w:rFonts w:asciiTheme="minorHAnsi" w:hAnsiTheme="minorHAnsi" w:cstheme="minorHAnsi"/>
        </w:rPr>
        <w:t xml:space="preserve"> standards, can be designed and maintained to run well despite their </w:t>
      </w:r>
      <w:proofErr w:type="spellStart"/>
      <w:r w:rsidRPr="00B00C53">
        <w:rPr>
          <w:rFonts w:asciiTheme="minorHAnsi" w:hAnsiTheme="minorHAnsi" w:cstheme="minorHAnsi"/>
        </w:rPr>
        <w:t>20’s</w:t>
      </w:r>
      <w:proofErr w:type="spellEnd"/>
      <w:r w:rsidRPr="00B00C53">
        <w:rPr>
          <w:rFonts w:asciiTheme="minorHAnsi" w:hAnsiTheme="minorHAnsi" w:cstheme="minorHAnsi"/>
        </w:rPr>
        <w:t xml:space="preserve"> age. Packing, printing, </w:t>
      </w:r>
      <w:proofErr w:type="spellStart"/>
      <w:r w:rsidRPr="00B00C53">
        <w:rPr>
          <w:rFonts w:asciiTheme="minorHAnsi" w:hAnsiTheme="minorHAnsi" w:cstheme="minorHAnsi"/>
        </w:rPr>
        <w:t>molding</w:t>
      </w:r>
      <w:proofErr w:type="spellEnd"/>
      <w:r w:rsidRPr="00B00C53">
        <w:rPr>
          <w:rFonts w:asciiTheme="minorHAnsi" w:hAnsiTheme="minorHAnsi" w:cstheme="minorHAnsi"/>
        </w:rPr>
        <w:t>, thermoforming machineries are some examples. Regular and good maintenance, good program of upgrade/refurbishment can enable the machines to run at target condition. High sense of equipment ownership together with a rigorous preventive maintenance program enables machines to be cared for in a state that they appear and run as new machines.</w:t>
      </w:r>
    </w:p>
    <w:p w:rsidR="00B00C53" w:rsidRPr="00B00C53" w:rsidRDefault="00B00C53" w:rsidP="00D46469">
      <w:pPr>
        <w:pStyle w:val="ListParagraph"/>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b/>
        </w:rPr>
      </w:pPr>
      <w:r>
        <w:rPr>
          <w:rFonts w:asciiTheme="minorHAnsi" w:hAnsiTheme="minorHAnsi" w:cstheme="minorHAnsi"/>
          <w:b/>
        </w:rPr>
        <w:t>c</w:t>
      </w:r>
      <w:r w:rsidRPr="00B00C53">
        <w:rPr>
          <w:rFonts w:asciiTheme="minorHAnsi" w:hAnsiTheme="minorHAnsi" w:cstheme="minorHAnsi"/>
          <w:b/>
        </w:rPr>
        <w:t>. Importation Procedure for Machinery/Equipment in Investment Projects (Article 10)</w:t>
      </w:r>
    </w:p>
    <w:p w:rsidR="00B00C53" w:rsidRPr="00B00C53" w:rsidRDefault="00B00C53" w:rsidP="00D46469">
      <w:pPr>
        <w:contextualSpacing/>
        <w:jc w:val="both"/>
        <w:rPr>
          <w:rFonts w:asciiTheme="minorHAnsi" w:hAnsiTheme="minorHAnsi" w:cstheme="minorHAnsi"/>
          <w:i/>
        </w:rPr>
      </w:pPr>
    </w:p>
    <w:p w:rsidR="00B00C53" w:rsidRPr="00B00C53" w:rsidRDefault="00B00C53" w:rsidP="00D46469">
      <w:pPr>
        <w:contextualSpacing/>
        <w:jc w:val="both"/>
        <w:rPr>
          <w:rFonts w:asciiTheme="minorHAnsi" w:hAnsiTheme="minorHAnsi" w:cstheme="minorHAnsi"/>
          <w:i/>
        </w:rPr>
      </w:pPr>
      <w:r w:rsidRPr="00B00C53">
        <w:rPr>
          <w:rFonts w:asciiTheme="minorHAnsi" w:hAnsiTheme="minorHAnsi" w:cstheme="minorHAnsi"/>
          <w:b/>
          <w:i/>
        </w:rPr>
        <w:t>Issue</w:t>
      </w:r>
      <w:r w:rsidRPr="00B00C53">
        <w:rPr>
          <w:rFonts w:asciiTheme="minorHAnsi" w:hAnsiTheme="minorHAnsi" w:cstheme="minorHAnsi"/>
          <w:i/>
        </w:rPr>
        <w:t>: The two-stage application process is burdensome and risky for enterprises</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 xml:space="preserve">While we appreciate the </w:t>
      </w:r>
      <w:proofErr w:type="spellStart"/>
      <w:r w:rsidRPr="00B00C53">
        <w:rPr>
          <w:rFonts w:asciiTheme="minorHAnsi" w:hAnsiTheme="minorHAnsi" w:cstheme="minorHAnsi"/>
        </w:rPr>
        <w:t>MOST's</w:t>
      </w:r>
      <w:proofErr w:type="spellEnd"/>
      <w:r w:rsidRPr="00B00C53">
        <w:rPr>
          <w:rFonts w:asciiTheme="minorHAnsi" w:hAnsiTheme="minorHAnsi" w:cstheme="minorHAnsi"/>
        </w:rPr>
        <w:t xml:space="preserve"> efforts to facilitate the implementation of exemptions for investment projects, the two-stage application process tends to create uncertainty for applicants. Particularly, for Stage 1, in order to receive exclusive treatment for used machinery/equipment in investment projects, investors must identify the list of used machinery/equipment at the time of applying for an investment decision/Investment Registration Certificate. Nonetheless, at this stage, the MOST does not make final decisions by providing preliminary comments to the application. While the draft is not clear on this point, we understand that the licensing authority only grants Investment Registration Certificates if the </w:t>
      </w:r>
      <w:proofErr w:type="spellStart"/>
      <w:r w:rsidRPr="00B00C53">
        <w:rPr>
          <w:rFonts w:asciiTheme="minorHAnsi" w:hAnsiTheme="minorHAnsi" w:cstheme="minorHAnsi"/>
        </w:rPr>
        <w:t>MOST's</w:t>
      </w:r>
      <w:proofErr w:type="spellEnd"/>
      <w:r w:rsidRPr="00B00C53">
        <w:rPr>
          <w:rFonts w:asciiTheme="minorHAnsi" w:hAnsiTheme="minorHAnsi" w:cstheme="minorHAnsi"/>
        </w:rPr>
        <w:t xml:space="preserve"> preliminary comments are positive, which is to say that the importation of used machinery/equipment as listed in an application dossier is accepted.</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The final decision is only made during Stage 2, which is 30 days before actual importation when the investors, after receiving an Investment Registration Certificate, submit a subsequent dossier to the MOST. At this stage, the MOST is still able to refuse importation.</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 xml:space="preserve">Such regulations bring about risks to investors, namely that the MOST may change its mind during Stage 2 by refusing the importation of the used machinery/equipment in question, while the investors must decide to invest in Vietnam on the basis of the </w:t>
      </w:r>
      <w:proofErr w:type="spellStart"/>
      <w:r w:rsidRPr="00B00C53">
        <w:rPr>
          <w:rFonts w:asciiTheme="minorHAnsi" w:hAnsiTheme="minorHAnsi" w:cstheme="minorHAnsi"/>
        </w:rPr>
        <w:t>MOST's</w:t>
      </w:r>
      <w:proofErr w:type="spellEnd"/>
      <w:r w:rsidRPr="00B00C53">
        <w:rPr>
          <w:rFonts w:asciiTheme="minorHAnsi" w:hAnsiTheme="minorHAnsi" w:cstheme="minorHAnsi"/>
        </w:rPr>
        <w:t xml:space="preserve"> preliminary comments during Stage 1. </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In addition, the two-stage process as suggested in the draft is unnecessarily time consuming and costly as, in practice, the MOST may make its final decision during Stage 1 rather than wait until Stage 2 because, in principle, there is almost no difference in application documentation, except for the Appraisal Certificate, which may be submitted during Stage 1.</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b/>
          <w:i/>
        </w:rPr>
        <w:t>Proposal</w:t>
      </w:r>
      <w:r w:rsidRPr="00B00C53">
        <w:rPr>
          <w:rFonts w:asciiTheme="minorHAnsi" w:hAnsiTheme="minorHAnsi" w:cstheme="minorHAnsi"/>
          <w:i/>
        </w:rPr>
        <w:t xml:space="preserve">: </w:t>
      </w:r>
      <w:r w:rsidRPr="00B00C53">
        <w:rPr>
          <w:rFonts w:asciiTheme="minorHAnsi" w:hAnsiTheme="minorHAnsi" w:cstheme="minorHAnsi"/>
        </w:rPr>
        <w:t>We propose combining Stage 1 and Stage 2 into a single-stage application process, i.e. the MOST will make its final decision before or during the investment decision/Investment Registration Certificate application process. This is critical for investment licensing authority to approve an investment project, also for Investor to decide if it will go with the investment or not.</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b/>
        </w:rPr>
      </w:pPr>
      <w:r>
        <w:rPr>
          <w:rFonts w:asciiTheme="minorHAnsi" w:hAnsiTheme="minorHAnsi" w:cstheme="minorHAnsi"/>
          <w:b/>
        </w:rPr>
        <w:t>d</w:t>
      </w:r>
      <w:r w:rsidRPr="00B00C53">
        <w:rPr>
          <w:rFonts w:asciiTheme="minorHAnsi" w:hAnsiTheme="minorHAnsi" w:cstheme="minorHAnsi"/>
          <w:b/>
        </w:rPr>
        <w:t>. Validity and place of Appraisal Certificate (Article 12.6)</w:t>
      </w:r>
      <w:r w:rsidRPr="00B00C53">
        <w:rPr>
          <w:rFonts w:asciiTheme="minorHAnsi" w:hAnsiTheme="minorHAnsi" w:cstheme="minorHAnsi"/>
        </w:rPr>
        <w:t>.</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i/>
        </w:rPr>
      </w:pPr>
      <w:r w:rsidRPr="00B00C53">
        <w:rPr>
          <w:rFonts w:asciiTheme="minorHAnsi" w:hAnsiTheme="minorHAnsi" w:cstheme="minorHAnsi"/>
          <w:b/>
          <w:i/>
        </w:rPr>
        <w:t>Issue:</w:t>
      </w:r>
      <w:r w:rsidRPr="00B00C53">
        <w:rPr>
          <w:rFonts w:asciiTheme="minorHAnsi" w:hAnsiTheme="minorHAnsi" w:cstheme="minorHAnsi"/>
          <w:i/>
        </w:rPr>
        <w:t xml:space="preserve"> The draft only provides a six-month validity period for Appraisal Certificates and requires the Appraisal before importation.</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We propose extending the validity period to 12 months as the appraisal process is complex and time consuming. Also, the packing/transportation of machinery/equipment in international transactions (e.g. by sea) requires a considerable amount of time.</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We propose to accept the Ap</w:t>
      </w:r>
      <w:r w:rsidR="008B46E0">
        <w:rPr>
          <w:rFonts w:asciiTheme="minorHAnsi" w:hAnsiTheme="minorHAnsi" w:cstheme="minorHAnsi"/>
        </w:rPr>
        <w:t>p</w:t>
      </w:r>
      <w:r w:rsidRPr="00B00C53">
        <w:rPr>
          <w:rFonts w:asciiTheme="minorHAnsi" w:hAnsiTheme="minorHAnsi" w:cstheme="minorHAnsi"/>
        </w:rPr>
        <w:t xml:space="preserve">raisal either before the importation or in Vietnam. In case of the later, enterprise can temporarily bring the equipment to its warehouse/plant and supplement the Appraisal within 30 days for customs clearance in accordance with customs clearance procedures. </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b/>
        </w:rPr>
      </w:pPr>
      <w:r>
        <w:rPr>
          <w:rFonts w:asciiTheme="minorHAnsi" w:eastAsia="Times New Roman" w:hAnsiTheme="minorHAnsi" w:cstheme="minorHAnsi"/>
          <w:b/>
          <w:bCs/>
        </w:rPr>
        <w:t>e</w:t>
      </w:r>
      <w:r w:rsidRPr="00B00C53">
        <w:rPr>
          <w:rFonts w:asciiTheme="minorHAnsi" w:eastAsia="Times New Roman" w:hAnsiTheme="minorHAnsi" w:cstheme="minorHAnsi"/>
          <w:b/>
          <w:bCs/>
        </w:rPr>
        <w:t xml:space="preserve">. </w:t>
      </w:r>
      <w:r w:rsidRPr="00B00C53">
        <w:rPr>
          <w:rFonts w:asciiTheme="minorHAnsi" w:hAnsiTheme="minorHAnsi" w:cstheme="minorHAnsi"/>
          <w:b/>
        </w:rPr>
        <w:t xml:space="preserve">Exceptional approval by MOST in special case (when shelf life </w:t>
      </w:r>
      <w:r w:rsidR="00463D83">
        <w:rPr>
          <w:rFonts w:asciiTheme="minorHAnsi" w:hAnsiTheme="minorHAnsi" w:cstheme="minorHAnsi"/>
          <w:b/>
        </w:rPr>
        <w:t xml:space="preserve">is </w:t>
      </w:r>
      <w:r w:rsidRPr="00B00C53">
        <w:rPr>
          <w:rFonts w:asciiTheme="minorHAnsi" w:hAnsiTheme="minorHAnsi" w:cstheme="minorHAnsi"/>
          <w:b/>
        </w:rPr>
        <w:t>greater than those provided in Art 7 – i.e. 20 years) – Art 15.2:</w:t>
      </w:r>
    </w:p>
    <w:p w:rsidR="00B00C53" w:rsidRPr="00B00C53" w:rsidRDefault="00B00C53" w:rsidP="00D46469">
      <w:pPr>
        <w:contextualSpacing/>
        <w:jc w:val="both"/>
        <w:rPr>
          <w:rFonts w:asciiTheme="minorHAnsi" w:hAnsiTheme="minorHAnsi" w:cstheme="minorHAnsi"/>
          <w:b/>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 xml:space="preserve">The draft sets more barriers/conditions </w:t>
      </w:r>
      <w:proofErr w:type="spellStart"/>
      <w:r w:rsidRPr="00B00C53">
        <w:rPr>
          <w:rFonts w:asciiTheme="minorHAnsi" w:hAnsiTheme="minorHAnsi" w:cstheme="minorHAnsi"/>
        </w:rPr>
        <w:t>vs</w:t>
      </w:r>
      <w:proofErr w:type="spellEnd"/>
      <w:r w:rsidRPr="00B00C53">
        <w:rPr>
          <w:rFonts w:asciiTheme="minorHAnsi" w:hAnsiTheme="minorHAnsi" w:cstheme="minorHAnsi"/>
        </w:rPr>
        <w:t xml:space="preserve"> current Circular No. 23 by proposing situation where the used equipment cannot be considered for import: complicated technology, remaining shelf life less than 10 years. Such conditions are unclear and not feasible to prove. We suggest to remove Article 15.2.</w:t>
      </w:r>
    </w:p>
    <w:p w:rsidR="00B00C53" w:rsidRPr="00B00C53" w:rsidRDefault="00B00C53" w:rsidP="00D46469">
      <w:pPr>
        <w:contextualSpacing/>
        <w:jc w:val="both"/>
        <w:rPr>
          <w:rFonts w:asciiTheme="minorHAnsi" w:hAnsiTheme="minorHAnsi" w:cstheme="minorHAnsi"/>
          <w:b/>
        </w:rPr>
      </w:pPr>
    </w:p>
    <w:p w:rsidR="00B00C53" w:rsidRPr="00B00C53" w:rsidRDefault="00B00C53" w:rsidP="00D46469">
      <w:pPr>
        <w:contextualSpacing/>
        <w:jc w:val="both"/>
        <w:rPr>
          <w:rFonts w:asciiTheme="minorHAnsi" w:hAnsiTheme="minorHAnsi" w:cstheme="minorHAnsi"/>
          <w:b/>
        </w:rPr>
      </w:pPr>
      <w:r>
        <w:rPr>
          <w:rFonts w:asciiTheme="minorHAnsi" w:hAnsiTheme="minorHAnsi" w:cstheme="minorHAnsi"/>
          <w:b/>
        </w:rPr>
        <w:t>f</w:t>
      </w:r>
      <w:r w:rsidRPr="00B00C53">
        <w:rPr>
          <w:rFonts w:asciiTheme="minorHAnsi" w:hAnsiTheme="minorHAnsi" w:cstheme="minorHAnsi"/>
          <w:b/>
        </w:rPr>
        <w:t>. Transitional Clause (Article 17)</w:t>
      </w:r>
    </w:p>
    <w:p w:rsidR="00B00C53" w:rsidRPr="00B00C53" w:rsidRDefault="00B00C53" w:rsidP="00D46469">
      <w:pPr>
        <w:contextualSpacing/>
        <w:jc w:val="both"/>
        <w:rPr>
          <w:rFonts w:asciiTheme="minorHAnsi" w:hAnsiTheme="minorHAnsi" w:cstheme="minorHAnsi"/>
          <w:b/>
        </w:rPr>
      </w:pPr>
    </w:p>
    <w:p w:rsidR="00B00C53" w:rsidRPr="00B00C53" w:rsidRDefault="00B00C53" w:rsidP="00D46469">
      <w:pPr>
        <w:contextualSpacing/>
        <w:jc w:val="both"/>
        <w:rPr>
          <w:rFonts w:asciiTheme="minorHAnsi" w:hAnsiTheme="minorHAnsi" w:cstheme="minorHAnsi"/>
          <w:i/>
        </w:rPr>
      </w:pPr>
      <w:r w:rsidRPr="00B00C53">
        <w:rPr>
          <w:rFonts w:asciiTheme="minorHAnsi" w:hAnsiTheme="minorHAnsi" w:cstheme="minorHAnsi"/>
          <w:b/>
          <w:i/>
        </w:rPr>
        <w:t>Issue:</w:t>
      </w:r>
      <w:r w:rsidR="00DF3DB7">
        <w:rPr>
          <w:rFonts w:asciiTheme="minorHAnsi" w:hAnsiTheme="minorHAnsi" w:cstheme="minorHAnsi"/>
          <w:i/>
        </w:rPr>
        <w:t xml:space="preserve"> </w:t>
      </w:r>
      <w:r w:rsidRPr="00B00C53">
        <w:rPr>
          <w:rFonts w:asciiTheme="minorHAnsi" w:hAnsiTheme="minorHAnsi" w:cstheme="minorHAnsi"/>
          <w:i/>
        </w:rPr>
        <w:t>The draft excludes its effect in the event that a “contract is signed and machinery/equipment are on board for shipment before the entry into force of the new Circular,” which is the same as the transition clause in the current Circular No. 23 and, therefore, not reasonable</w:t>
      </w:r>
      <w:r w:rsidR="00413A9A">
        <w:rPr>
          <w:rFonts w:asciiTheme="minorHAnsi" w:hAnsiTheme="minorHAnsi" w:cstheme="minorHAnsi"/>
          <w:i/>
        </w:rPr>
        <w:t>.</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rPr>
        <w:t>Particularly, such regulations would give rise to controversy on how to treat the equipment that has been approved by the MOST in accordance with Circular No. 23 before the effect of the new Circular, but the shipment is made after the entry into force of the new Circular.</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rPr>
      </w:pPr>
      <w:r w:rsidRPr="00B00C53">
        <w:rPr>
          <w:rFonts w:asciiTheme="minorHAnsi" w:hAnsiTheme="minorHAnsi" w:cstheme="minorHAnsi"/>
          <w:b/>
          <w:i/>
        </w:rPr>
        <w:t>Proposal:</w:t>
      </w:r>
      <w:r w:rsidRPr="00B00C53">
        <w:rPr>
          <w:rFonts w:asciiTheme="minorHAnsi" w:hAnsiTheme="minorHAnsi" w:cstheme="minorHAnsi"/>
        </w:rPr>
        <w:t xml:space="preserve"> We suggest the transition clause as follows:</w:t>
      </w:r>
    </w:p>
    <w:p w:rsidR="00B00C53" w:rsidRPr="00B00C53" w:rsidRDefault="00B00C53" w:rsidP="00D46469">
      <w:pPr>
        <w:contextualSpacing/>
        <w:jc w:val="both"/>
        <w:rPr>
          <w:rFonts w:asciiTheme="minorHAnsi" w:hAnsiTheme="minorHAnsi" w:cstheme="minorHAnsi"/>
        </w:rPr>
      </w:pPr>
    </w:p>
    <w:p w:rsidR="00B00C53" w:rsidRPr="00B00C53" w:rsidRDefault="00B00C53" w:rsidP="00D46469">
      <w:pPr>
        <w:contextualSpacing/>
        <w:jc w:val="both"/>
        <w:rPr>
          <w:rFonts w:asciiTheme="minorHAnsi" w:hAnsiTheme="minorHAnsi" w:cstheme="minorHAnsi"/>
          <w:i/>
          <w:iCs/>
        </w:rPr>
      </w:pPr>
      <w:r w:rsidRPr="00B00C53">
        <w:rPr>
          <w:rFonts w:asciiTheme="minorHAnsi" w:hAnsiTheme="minorHAnsi" w:cstheme="minorHAnsi"/>
        </w:rPr>
        <w:t>“</w:t>
      </w:r>
      <w:r w:rsidRPr="00B00C53">
        <w:rPr>
          <w:rFonts w:asciiTheme="minorHAnsi" w:hAnsiTheme="minorHAnsi" w:cstheme="minorHAnsi"/>
          <w:i/>
          <w:iCs/>
        </w:rPr>
        <w:t xml:space="preserve">The Circular shall not be applicable to following cases, unless where it is more </w:t>
      </w:r>
      <w:proofErr w:type="spellStart"/>
      <w:r w:rsidRPr="00B00C53">
        <w:rPr>
          <w:rFonts w:asciiTheme="minorHAnsi" w:hAnsiTheme="minorHAnsi" w:cstheme="minorHAnsi"/>
          <w:i/>
          <w:iCs/>
        </w:rPr>
        <w:t>favorable</w:t>
      </w:r>
      <w:proofErr w:type="spellEnd"/>
      <w:r w:rsidRPr="00B00C53">
        <w:rPr>
          <w:rFonts w:asciiTheme="minorHAnsi" w:hAnsiTheme="minorHAnsi" w:cstheme="minorHAnsi"/>
          <w:i/>
          <w:iCs/>
        </w:rPr>
        <w:t xml:space="preserve"> for enterprises:</w:t>
      </w:r>
    </w:p>
    <w:p w:rsidR="00B00C53" w:rsidRPr="00B00C53" w:rsidRDefault="00B00C53" w:rsidP="00D46469">
      <w:pPr>
        <w:contextualSpacing/>
        <w:jc w:val="both"/>
        <w:rPr>
          <w:rFonts w:asciiTheme="minorHAnsi" w:hAnsiTheme="minorHAnsi" w:cstheme="minorHAnsi"/>
          <w:i/>
          <w:iCs/>
        </w:rPr>
      </w:pPr>
    </w:p>
    <w:p w:rsidR="00B00C53" w:rsidRPr="00B00C53" w:rsidRDefault="00B00C53" w:rsidP="00D46469">
      <w:pPr>
        <w:numPr>
          <w:ilvl w:val="0"/>
          <w:numId w:val="26"/>
        </w:numPr>
        <w:contextualSpacing/>
        <w:jc w:val="both"/>
        <w:rPr>
          <w:rFonts w:asciiTheme="minorHAnsi" w:hAnsiTheme="minorHAnsi" w:cstheme="minorHAnsi"/>
          <w:i/>
          <w:iCs/>
        </w:rPr>
      </w:pPr>
      <w:r w:rsidRPr="00B00C53">
        <w:rPr>
          <w:rFonts w:asciiTheme="minorHAnsi" w:hAnsiTheme="minorHAnsi" w:cstheme="minorHAnsi"/>
          <w:i/>
          <w:iCs/>
        </w:rPr>
        <w:t xml:space="preserve">A purchase contract is signed and used machinery/equipment is shipped on board before the effective date of the new Circular; or </w:t>
      </w:r>
    </w:p>
    <w:p w:rsidR="00B00C53" w:rsidRPr="00B00C53" w:rsidRDefault="00B00C53" w:rsidP="00D46469">
      <w:pPr>
        <w:numPr>
          <w:ilvl w:val="0"/>
          <w:numId w:val="26"/>
        </w:numPr>
        <w:contextualSpacing/>
        <w:jc w:val="both"/>
        <w:rPr>
          <w:rFonts w:asciiTheme="minorHAnsi" w:hAnsiTheme="minorHAnsi" w:cstheme="minorHAnsi"/>
        </w:rPr>
      </w:pPr>
      <w:r w:rsidRPr="00B00C53">
        <w:rPr>
          <w:rFonts w:asciiTheme="minorHAnsi" w:hAnsiTheme="minorHAnsi" w:cstheme="minorHAnsi"/>
          <w:i/>
          <w:iCs/>
        </w:rPr>
        <w:t>Used equipment has been approved by the MOST in accordance with Circular No. 23.</w:t>
      </w:r>
    </w:p>
    <w:p w:rsidR="00B00C53" w:rsidRPr="00B00C53" w:rsidRDefault="00B00C53" w:rsidP="00D46469">
      <w:pPr>
        <w:contextualSpacing/>
        <w:jc w:val="both"/>
        <w:rPr>
          <w:rFonts w:asciiTheme="minorHAnsi" w:hAnsiTheme="minorHAnsi" w:cstheme="minorHAnsi"/>
          <w:i/>
          <w:iCs/>
        </w:rPr>
      </w:pPr>
    </w:p>
    <w:p w:rsidR="000F3F37" w:rsidRPr="008E57D9" w:rsidRDefault="00B00C53" w:rsidP="00922C71">
      <w:pPr>
        <w:contextualSpacing/>
        <w:jc w:val="both"/>
        <w:rPr>
          <w:rFonts w:asciiTheme="minorHAnsi" w:hAnsiTheme="minorHAnsi"/>
        </w:rPr>
      </w:pPr>
      <w:r w:rsidRPr="00B00C53">
        <w:rPr>
          <w:rFonts w:asciiTheme="minorHAnsi" w:hAnsiTheme="minorHAnsi" w:cstheme="minorHAnsi"/>
          <w:i/>
          <w:iCs/>
        </w:rPr>
        <w:t xml:space="preserve">Unless the procedures under this Circular is more </w:t>
      </w:r>
      <w:proofErr w:type="spellStart"/>
      <w:r w:rsidRPr="00B00C53">
        <w:rPr>
          <w:rFonts w:asciiTheme="minorHAnsi" w:hAnsiTheme="minorHAnsi" w:cstheme="minorHAnsi"/>
          <w:i/>
          <w:iCs/>
        </w:rPr>
        <w:t>favorable</w:t>
      </w:r>
      <w:proofErr w:type="spellEnd"/>
      <w:r w:rsidRPr="00B00C53">
        <w:rPr>
          <w:rFonts w:asciiTheme="minorHAnsi" w:hAnsiTheme="minorHAnsi" w:cstheme="minorHAnsi"/>
          <w:i/>
          <w:iCs/>
        </w:rPr>
        <w:t xml:space="preserve"> and enterprise choose to go with it, used equipment have been approved by MOST in accordance with Cir 23 shall be continued implementing in accordance with Circular 23”. </w:t>
      </w:r>
    </w:p>
    <w:sectPr w:rsidR="000F3F37" w:rsidRPr="008E57D9" w:rsidSect="00184390">
      <w:headerReference w:type="default" r:id="rId11"/>
      <w:footerReference w:type="even" r:id="rId12"/>
      <w:footerReference w:type="default" r:id="rId13"/>
      <w:pgSz w:w="11907" w:h="16839" w:code="9"/>
      <w:pgMar w:top="1138" w:right="1138" w:bottom="1138"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69" w:rsidRDefault="00D46469">
      <w:r>
        <w:separator/>
      </w:r>
    </w:p>
  </w:endnote>
  <w:endnote w:type="continuationSeparator" w:id="0">
    <w:p w:rsidR="00D46469" w:rsidRDefault="00D46469">
      <w:r>
        <w:continuationSeparator/>
      </w:r>
    </w:p>
  </w:endnote>
  <w:endnote w:type="continuationNotice" w:id="1">
    <w:p w:rsidR="00D46469" w:rsidRDefault="00D46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69" w:rsidRDefault="00D46469"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D46469" w:rsidRDefault="00D46469" w:rsidP="008E5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i/>
        <w:sz w:val="20"/>
        <w:szCs w:val="20"/>
      </w:rPr>
      <w:id w:val="1550490149"/>
      <w:docPartObj>
        <w:docPartGallery w:val="Page Numbers (Bottom of Page)"/>
        <w:docPartUnique/>
      </w:docPartObj>
    </w:sdtPr>
    <w:sdtEndPr/>
    <w:sdtContent>
      <w:sdt>
        <w:sdtPr>
          <w:rPr>
            <w:rFonts w:asciiTheme="minorHAnsi" w:hAnsiTheme="minorHAnsi" w:cstheme="minorHAnsi"/>
            <w:i/>
            <w:sz w:val="20"/>
            <w:szCs w:val="20"/>
          </w:rPr>
          <w:id w:val="-1669238322"/>
          <w:docPartObj>
            <w:docPartGallery w:val="Page Numbers (Top of Page)"/>
            <w:docPartUnique/>
          </w:docPartObj>
        </w:sdtPr>
        <w:sdtEndPr/>
        <w:sdtContent>
          <w:p w:rsidR="00D46469" w:rsidRPr="00303C58" w:rsidRDefault="00D46469">
            <w:pPr>
              <w:pStyle w:val="Footer"/>
              <w:jc w:val="center"/>
              <w:rPr>
                <w:rFonts w:asciiTheme="minorHAnsi" w:hAnsiTheme="minorHAnsi" w:cstheme="minorHAnsi"/>
                <w:i/>
                <w:sz w:val="20"/>
                <w:szCs w:val="20"/>
              </w:rPr>
            </w:pPr>
            <w:r w:rsidRPr="00303C58">
              <w:rPr>
                <w:rFonts w:asciiTheme="minorHAnsi" w:hAnsiTheme="minorHAnsi" w:cstheme="minorHAnsi"/>
                <w:i/>
                <w:sz w:val="20"/>
                <w:szCs w:val="20"/>
              </w:rPr>
              <w:t xml:space="preserve">Page </w:t>
            </w:r>
            <w:r w:rsidRPr="00303C58">
              <w:rPr>
                <w:rFonts w:asciiTheme="minorHAnsi" w:hAnsiTheme="minorHAnsi" w:cstheme="minorHAnsi"/>
                <w:bCs/>
                <w:i/>
                <w:sz w:val="20"/>
                <w:szCs w:val="20"/>
              </w:rPr>
              <w:fldChar w:fldCharType="begin"/>
            </w:r>
            <w:r w:rsidRPr="00303C58">
              <w:rPr>
                <w:rFonts w:asciiTheme="minorHAnsi" w:hAnsiTheme="minorHAnsi" w:cstheme="minorHAnsi"/>
                <w:bCs/>
                <w:i/>
                <w:sz w:val="20"/>
                <w:szCs w:val="20"/>
              </w:rPr>
              <w:instrText xml:space="preserve"> PAGE </w:instrText>
            </w:r>
            <w:r w:rsidRPr="00303C58">
              <w:rPr>
                <w:rFonts w:asciiTheme="minorHAnsi" w:hAnsiTheme="minorHAnsi" w:cstheme="minorHAnsi"/>
                <w:bCs/>
                <w:i/>
                <w:sz w:val="20"/>
                <w:szCs w:val="20"/>
              </w:rPr>
              <w:fldChar w:fldCharType="separate"/>
            </w:r>
            <w:r w:rsidR="00DF03D4">
              <w:rPr>
                <w:rFonts w:asciiTheme="minorHAnsi" w:hAnsiTheme="minorHAnsi" w:cstheme="minorHAnsi"/>
                <w:bCs/>
                <w:i/>
                <w:sz w:val="20"/>
                <w:szCs w:val="20"/>
              </w:rPr>
              <w:t>11</w:t>
            </w:r>
            <w:r w:rsidRPr="00303C58">
              <w:rPr>
                <w:rFonts w:asciiTheme="minorHAnsi" w:hAnsiTheme="minorHAnsi" w:cstheme="minorHAnsi"/>
                <w:bCs/>
                <w:i/>
                <w:sz w:val="20"/>
                <w:szCs w:val="20"/>
              </w:rPr>
              <w:fldChar w:fldCharType="end"/>
            </w:r>
            <w:r w:rsidRPr="00303C58">
              <w:rPr>
                <w:rFonts w:asciiTheme="minorHAnsi" w:hAnsiTheme="minorHAnsi" w:cstheme="minorHAnsi"/>
                <w:i/>
                <w:sz w:val="20"/>
                <w:szCs w:val="20"/>
              </w:rPr>
              <w:t xml:space="preserve"> of </w:t>
            </w:r>
            <w:r w:rsidRPr="00303C58">
              <w:rPr>
                <w:rFonts w:asciiTheme="minorHAnsi" w:hAnsiTheme="minorHAnsi" w:cstheme="minorHAnsi"/>
                <w:bCs/>
                <w:i/>
                <w:sz w:val="20"/>
                <w:szCs w:val="20"/>
              </w:rPr>
              <w:fldChar w:fldCharType="begin"/>
            </w:r>
            <w:r w:rsidRPr="00303C58">
              <w:rPr>
                <w:rFonts w:asciiTheme="minorHAnsi" w:hAnsiTheme="minorHAnsi" w:cstheme="minorHAnsi"/>
                <w:bCs/>
                <w:i/>
                <w:sz w:val="20"/>
                <w:szCs w:val="20"/>
              </w:rPr>
              <w:instrText xml:space="preserve"> NUMPAGES  </w:instrText>
            </w:r>
            <w:r w:rsidRPr="00303C58">
              <w:rPr>
                <w:rFonts w:asciiTheme="minorHAnsi" w:hAnsiTheme="minorHAnsi" w:cstheme="minorHAnsi"/>
                <w:bCs/>
                <w:i/>
                <w:sz w:val="20"/>
                <w:szCs w:val="20"/>
              </w:rPr>
              <w:fldChar w:fldCharType="separate"/>
            </w:r>
            <w:r w:rsidR="00DF03D4">
              <w:rPr>
                <w:rFonts w:asciiTheme="minorHAnsi" w:hAnsiTheme="minorHAnsi" w:cstheme="minorHAnsi"/>
                <w:bCs/>
                <w:i/>
                <w:sz w:val="20"/>
                <w:szCs w:val="20"/>
              </w:rPr>
              <w:t>11</w:t>
            </w:r>
            <w:r w:rsidRPr="00303C58">
              <w:rPr>
                <w:rFonts w:asciiTheme="minorHAnsi" w:hAnsiTheme="minorHAnsi" w:cstheme="minorHAnsi"/>
                <w:bCs/>
                <w:i/>
                <w:sz w:val="20"/>
                <w:szCs w:val="20"/>
              </w:rPr>
              <w:fldChar w:fldCharType="end"/>
            </w:r>
          </w:p>
        </w:sdtContent>
      </w:sdt>
    </w:sdtContent>
  </w:sdt>
  <w:p w:rsidR="00D46469" w:rsidRDefault="00D46469" w:rsidP="00887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69" w:rsidRDefault="00D46469">
      <w:r>
        <w:separator/>
      </w:r>
    </w:p>
  </w:footnote>
  <w:footnote w:type="continuationSeparator" w:id="0">
    <w:p w:rsidR="00D46469" w:rsidRDefault="00D46469">
      <w:r>
        <w:continuationSeparator/>
      </w:r>
    </w:p>
  </w:footnote>
  <w:footnote w:type="continuationNotice" w:id="1">
    <w:p w:rsidR="00D46469" w:rsidRDefault="00D464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69" w:rsidRPr="00795907" w:rsidRDefault="00922C71" w:rsidP="00655DA6">
    <w:pPr>
      <w:pStyle w:val="Header"/>
      <w:pBdr>
        <w:bottom w:val="single" w:sz="4" w:space="1" w:color="auto"/>
      </w:pBdr>
      <w:rPr>
        <w:i/>
        <w:sz w:val="20"/>
        <w:szCs w:val="20"/>
      </w:rPr>
    </w:pPr>
    <w:r>
      <w:rPr>
        <w:i/>
        <w:sz w:val="20"/>
        <w:szCs w:val="20"/>
      </w:rPr>
      <w:t>Position p</w:t>
    </w:r>
    <w:r w:rsidR="00D46469">
      <w:rPr>
        <w:i/>
        <w:sz w:val="20"/>
        <w:szCs w:val="20"/>
      </w:rPr>
      <w:t>aper of</w:t>
    </w:r>
    <w:r w:rsidR="00D46469" w:rsidRPr="00795907">
      <w:rPr>
        <w:i/>
        <w:sz w:val="20"/>
        <w:szCs w:val="20"/>
      </w:rPr>
      <w:t xml:space="preserve"> Investment &amp; Trade </w:t>
    </w:r>
    <w:proofErr w:type="spellStart"/>
    <w:r w:rsidR="00D46469" w:rsidRPr="00795907">
      <w:rPr>
        <w:i/>
        <w:sz w:val="20"/>
        <w:szCs w:val="20"/>
      </w:rPr>
      <w:t>WG</w:t>
    </w:r>
    <w:proofErr w:type="spellEnd"/>
    <w:r w:rsidR="00D46469" w:rsidRPr="00795907">
      <w:rPr>
        <w:i/>
        <w:sz w:val="20"/>
        <w:szCs w:val="20"/>
      </w:rPr>
      <w:t xml:space="preserve"> </w:t>
    </w:r>
    <w:r w:rsidR="00D46469">
      <w:rPr>
        <w:i/>
        <w:sz w:val="20"/>
        <w:szCs w:val="20"/>
      </w:rPr>
      <w:t xml:space="preserve">            </w:t>
    </w:r>
    <w:r w:rsidR="00D46469" w:rsidRPr="00795907">
      <w:rPr>
        <w:i/>
        <w:sz w:val="20"/>
        <w:szCs w:val="20"/>
      </w:rPr>
      <w:t xml:space="preserve">       </w:t>
    </w:r>
    <w:r w:rsidR="00D46469">
      <w:rPr>
        <w:i/>
        <w:sz w:val="20"/>
        <w:szCs w:val="20"/>
      </w:rPr>
      <w:t xml:space="preserve">                                   Annual </w:t>
    </w:r>
    <w:r w:rsidR="00D46469" w:rsidRPr="00795907">
      <w:rPr>
        <w:i/>
        <w:sz w:val="20"/>
        <w:szCs w:val="20"/>
      </w:rPr>
      <w:t>Vietnam Business Forum, 201</w:t>
    </w:r>
    <w:r w:rsidR="00D46469">
      <w:rPr>
        <w:i/>
        <w:sz w:val="20"/>
        <w:szCs w:val="20"/>
      </w:rPr>
      <w:t>7</w:t>
    </w:r>
  </w:p>
  <w:p w:rsidR="00D46469" w:rsidRPr="008E57D9" w:rsidRDefault="00D46469" w:rsidP="008E57D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97_"/>
      </v:shape>
    </w:pict>
  </w:numPicBullet>
  <w:abstractNum w:abstractNumId="0">
    <w:nsid w:val="040E457C"/>
    <w:multiLevelType w:val="hybridMultilevel"/>
    <w:tmpl w:val="9CF2A09C"/>
    <w:lvl w:ilvl="0" w:tplc="D8024B3C">
      <w:start w:val="4"/>
      <w:numFmt w:val="bullet"/>
      <w:lvlText w:val="-"/>
      <w:lvlJc w:val="left"/>
      <w:pPr>
        <w:ind w:left="1440" w:hanging="360"/>
      </w:pPr>
      <w:rPr>
        <w:rFonts w:ascii="Arial" w:eastAsia="SimSun" w:hAnsi="Arial" w:cs="Times New Roman"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
    <w:nsid w:val="067F5843"/>
    <w:multiLevelType w:val="hybridMultilevel"/>
    <w:tmpl w:val="BBCC1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099F52AB"/>
    <w:multiLevelType w:val="multilevel"/>
    <w:tmpl w:val="D70EC034"/>
    <w:numStyleLink w:val="BMSchedules"/>
  </w:abstractNum>
  <w:abstractNum w:abstractNumId="4">
    <w:nsid w:val="219577B9"/>
    <w:multiLevelType w:val="hybridMultilevel"/>
    <w:tmpl w:val="D984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F451C4C"/>
    <w:multiLevelType w:val="multilevel"/>
    <w:tmpl w:val="94A89372"/>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3550A92"/>
    <w:multiLevelType w:val="hybridMultilevel"/>
    <w:tmpl w:val="44AC0EBA"/>
    <w:lvl w:ilvl="0" w:tplc="D8024B3C">
      <w:start w:val="4"/>
      <w:numFmt w:val="bullet"/>
      <w:lvlText w:val="-"/>
      <w:lvlJc w:val="left"/>
      <w:pPr>
        <w:ind w:left="720" w:hanging="360"/>
      </w:pPr>
      <w:rPr>
        <w:rFonts w:ascii="Arial" w:eastAsia="SimSu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C1C37"/>
    <w:multiLevelType w:val="hybridMultilevel"/>
    <w:tmpl w:val="4FC6E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40C33989"/>
    <w:multiLevelType w:val="hybridMultilevel"/>
    <w:tmpl w:val="F0047274"/>
    <w:lvl w:ilvl="0" w:tplc="9E96838A">
      <w:start w:val="1"/>
      <w:numFmt w:val="bullet"/>
      <w:lvlText w:val=""/>
      <w:lvlPicBulletId w:val="0"/>
      <w:lvlJc w:val="left"/>
      <w:pPr>
        <w:ind w:left="243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7E2535"/>
    <w:multiLevelType w:val="hybridMultilevel"/>
    <w:tmpl w:val="2FC6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6">
    <w:nsid w:val="690706DA"/>
    <w:multiLevelType w:val="hybridMultilevel"/>
    <w:tmpl w:val="02EC760A"/>
    <w:lvl w:ilvl="0" w:tplc="E60E4550">
      <w:start w:val="1"/>
      <w:numFmt w:val="upperRoman"/>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6D2E4010"/>
    <w:multiLevelType w:val="hybridMultilevel"/>
    <w:tmpl w:val="3FF06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00A031A"/>
    <w:multiLevelType w:val="hybridMultilevel"/>
    <w:tmpl w:val="6E8ED434"/>
    <w:lvl w:ilvl="0" w:tplc="9E96838A">
      <w:start w:val="1"/>
      <w:numFmt w:val="bullet"/>
      <w:lvlText w:val=""/>
      <w:lvlPicBulletId w:val="0"/>
      <w:lvlJc w:val="left"/>
      <w:pPr>
        <w:ind w:left="243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AA613A"/>
    <w:multiLevelType w:val="hybridMultilevel"/>
    <w:tmpl w:val="5C9437C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797B46A2"/>
    <w:multiLevelType w:val="multilevel"/>
    <w:tmpl w:val="918AD164"/>
    <w:lvl w:ilvl="0">
      <w:start w:val="1"/>
      <w:numFmt w:val="decimal"/>
      <w:pStyle w:val="Heading1"/>
      <w:lvlText w:val="%1."/>
      <w:lvlJc w:val="left"/>
      <w:pPr>
        <w:ind w:left="432" w:hanging="432"/>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rPr>
    </w:lvl>
    <w:lvl w:ilvl="2">
      <w:start w:val="1"/>
      <w:numFmt w:val="decimal"/>
      <w:pStyle w:val="Heading3"/>
      <w:lvlText w:val="%1.%2.%3"/>
      <w:lvlJc w:val="left"/>
      <w:pPr>
        <w:ind w:left="17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79A20F87"/>
    <w:multiLevelType w:val="hybridMultilevel"/>
    <w:tmpl w:val="D1CC2A7E"/>
    <w:lvl w:ilvl="0" w:tplc="9E96838A">
      <w:start w:val="1"/>
      <w:numFmt w:val="bullet"/>
      <w:lvlText w:val=""/>
      <w:lvlPicBulletId w:val="0"/>
      <w:lvlJc w:val="left"/>
      <w:pPr>
        <w:ind w:left="24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0"/>
  </w:num>
  <w:num w:numId="5">
    <w:abstractNumId w:val="2"/>
  </w:num>
  <w:num w:numId="6">
    <w:abstractNumId w:val="13"/>
  </w:num>
  <w:num w:numId="7">
    <w:abstractNumId w:val="5"/>
  </w:num>
  <w:num w:numId="8">
    <w:abstractNumId w:val="15"/>
  </w:num>
  <w:num w:numId="9">
    <w:abstractNumId w:val="3"/>
  </w:num>
  <w:num w:numId="10">
    <w:abstractNumId w:val="20"/>
  </w:num>
  <w:num w:numId="11">
    <w:abstractNumId w:val="19"/>
  </w:num>
  <w:num w:numId="12">
    <w:abstractNumId w:val="4"/>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7"/>
  </w:num>
  <w:num w:numId="20">
    <w:abstractNumId w:val="21"/>
  </w:num>
  <w:num w:numId="21">
    <w:abstractNumId w:val="20"/>
  </w:num>
  <w:num w:numId="22">
    <w:abstractNumId w:val="1"/>
  </w:num>
  <w:num w:numId="23">
    <w:abstractNumId w:val="12"/>
  </w:num>
  <w:num w:numId="24">
    <w:abstractNumId w:val="20"/>
  </w:num>
  <w:num w:numId="25">
    <w:abstractNumId w:val="20"/>
  </w:num>
  <w:num w:numId="26">
    <w:abstractNumId w:val="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696507-B81C-477D-9784-9C17E4E22BCF}"/>
    <w:docVar w:name="dgnword-eventsink" w:val="358652992"/>
    <w:docVar w:name="DMReference" w:val="384999-v4\HANDMS"/>
    <w:docVar w:name="OfficeIni" w:val="Ho Chi Minh.ini"/>
    <w:docVar w:name="ReferenceFieldsConverted" w:val="True"/>
    <w:docVar w:name="Version" w:val="2.8.0"/>
  </w:docVars>
  <w:rsids>
    <w:rsidRoot w:val="00E005B9"/>
    <w:rsid w:val="00001597"/>
    <w:rsid w:val="00002665"/>
    <w:rsid w:val="00006CE8"/>
    <w:rsid w:val="00012E3A"/>
    <w:rsid w:val="0001376F"/>
    <w:rsid w:val="00013E43"/>
    <w:rsid w:val="00014A14"/>
    <w:rsid w:val="00015D99"/>
    <w:rsid w:val="00023934"/>
    <w:rsid w:val="0002724C"/>
    <w:rsid w:val="00035D72"/>
    <w:rsid w:val="00041A98"/>
    <w:rsid w:val="0004768C"/>
    <w:rsid w:val="00047967"/>
    <w:rsid w:val="00050C72"/>
    <w:rsid w:val="00053E15"/>
    <w:rsid w:val="000554CF"/>
    <w:rsid w:val="00060AB1"/>
    <w:rsid w:val="00063312"/>
    <w:rsid w:val="00063C09"/>
    <w:rsid w:val="0006526C"/>
    <w:rsid w:val="00065A98"/>
    <w:rsid w:val="000672A7"/>
    <w:rsid w:val="00067418"/>
    <w:rsid w:val="000714D1"/>
    <w:rsid w:val="00072AF1"/>
    <w:rsid w:val="000747B8"/>
    <w:rsid w:val="00074D3C"/>
    <w:rsid w:val="000750BE"/>
    <w:rsid w:val="00076C3D"/>
    <w:rsid w:val="0007782A"/>
    <w:rsid w:val="00077942"/>
    <w:rsid w:val="00084574"/>
    <w:rsid w:val="0009149B"/>
    <w:rsid w:val="000964D8"/>
    <w:rsid w:val="000A1E17"/>
    <w:rsid w:val="000B0EBD"/>
    <w:rsid w:val="000B32D9"/>
    <w:rsid w:val="000B420D"/>
    <w:rsid w:val="000B60EA"/>
    <w:rsid w:val="000B668A"/>
    <w:rsid w:val="000C1103"/>
    <w:rsid w:val="000C303F"/>
    <w:rsid w:val="000C713E"/>
    <w:rsid w:val="000D05B0"/>
    <w:rsid w:val="000D287D"/>
    <w:rsid w:val="000D457B"/>
    <w:rsid w:val="000E10D3"/>
    <w:rsid w:val="000E1F50"/>
    <w:rsid w:val="000E2695"/>
    <w:rsid w:val="000E2765"/>
    <w:rsid w:val="000E5D64"/>
    <w:rsid w:val="000E7702"/>
    <w:rsid w:val="000F0430"/>
    <w:rsid w:val="000F3F37"/>
    <w:rsid w:val="000F5C6F"/>
    <w:rsid w:val="000F684B"/>
    <w:rsid w:val="00100B0F"/>
    <w:rsid w:val="00100DF6"/>
    <w:rsid w:val="00106D82"/>
    <w:rsid w:val="0011546B"/>
    <w:rsid w:val="00116332"/>
    <w:rsid w:val="00122190"/>
    <w:rsid w:val="001244EF"/>
    <w:rsid w:val="00125135"/>
    <w:rsid w:val="001335CE"/>
    <w:rsid w:val="001362B7"/>
    <w:rsid w:val="00136869"/>
    <w:rsid w:val="0013758E"/>
    <w:rsid w:val="00137971"/>
    <w:rsid w:val="0014004C"/>
    <w:rsid w:val="00143F3F"/>
    <w:rsid w:val="00145B6E"/>
    <w:rsid w:val="001509FD"/>
    <w:rsid w:val="001513E0"/>
    <w:rsid w:val="001517E4"/>
    <w:rsid w:val="00160F13"/>
    <w:rsid w:val="001653C6"/>
    <w:rsid w:val="0017344C"/>
    <w:rsid w:val="00173FA0"/>
    <w:rsid w:val="001747EA"/>
    <w:rsid w:val="00175037"/>
    <w:rsid w:val="00177D6E"/>
    <w:rsid w:val="0018177C"/>
    <w:rsid w:val="00181BD5"/>
    <w:rsid w:val="00182941"/>
    <w:rsid w:val="00182EA2"/>
    <w:rsid w:val="00184390"/>
    <w:rsid w:val="00187810"/>
    <w:rsid w:val="001912A3"/>
    <w:rsid w:val="00196323"/>
    <w:rsid w:val="001970FE"/>
    <w:rsid w:val="00197CF4"/>
    <w:rsid w:val="001A100E"/>
    <w:rsid w:val="001A162C"/>
    <w:rsid w:val="001A3390"/>
    <w:rsid w:val="001A36A4"/>
    <w:rsid w:val="001A43E5"/>
    <w:rsid w:val="001A5A47"/>
    <w:rsid w:val="001B4E5E"/>
    <w:rsid w:val="001C00F1"/>
    <w:rsid w:val="001C09FE"/>
    <w:rsid w:val="001C163D"/>
    <w:rsid w:val="001D1291"/>
    <w:rsid w:val="001D23DA"/>
    <w:rsid w:val="001D5862"/>
    <w:rsid w:val="001D7E94"/>
    <w:rsid w:val="001E0B8A"/>
    <w:rsid w:val="001E1252"/>
    <w:rsid w:val="001E26B3"/>
    <w:rsid w:val="001E526E"/>
    <w:rsid w:val="001F16D7"/>
    <w:rsid w:val="001F45B6"/>
    <w:rsid w:val="001F4767"/>
    <w:rsid w:val="001F6E45"/>
    <w:rsid w:val="001F70E3"/>
    <w:rsid w:val="001F7853"/>
    <w:rsid w:val="001F7AD9"/>
    <w:rsid w:val="00200226"/>
    <w:rsid w:val="00201BE2"/>
    <w:rsid w:val="002023FE"/>
    <w:rsid w:val="0020645D"/>
    <w:rsid w:val="00206FD8"/>
    <w:rsid w:val="00207040"/>
    <w:rsid w:val="00217314"/>
    <w:rsid w:val="00222E8C"/>
    <w:rsid w:val="002251F1"/>
    <w:rsid w:val="00225A6E"/>
    <w:rsid w:val="00227784"/>
    <w:rsid w:val="00230D1B"/>
    <w:rsid w:val="00234991"/>
    <w:rsid w:val="002376EE"/>
    <w:rsid w:val="002377D6"/>
    <w:rsid w:val="002438C2"/>
    <w:rsid w:val="00246C97"/>
    <w:rsid w:val="00253DE3"/>
    <w:rsid w:val="00255F94"/>
    <w:rsid w:val="0025748C"/>
    <w:rsid w:val="00262824"/>
    <w:rsid w:val="00265E24"/>
    <w:rsid w:val="00266729"/>
    <w:rsid w:val="00270E22"/>
    <w:rsid w:val="00274887"/>
    <w:rsid w:val="002805CD"/>
    <w:rsid w:val="00282861"/>
    <w:rsid w:val="00282DB3"/>
    <w:rsid w:val="0028350B"/>
    <w:rsid w:val="00283DC1"/>
    <w:rsid w:val="00284C6D"/>
    <w:rsid w:val="00286A36"/>
    <w:rsid w:val="0029099D"/>
    <w:rsid w:val="00292B1A"/>
    <w:rsid w:val="0029373F"/>
    <w:rsid w:val="00295315"/>
    <w:rsid w:val="0029597A"/>
    <w:rsid w:val="0029748A"/>
    <w:rsid w:val="002A0806"/>
    <w:rsid w:val="002A111B"/>
    <w:rsid w:val="002A168A"/>
    <w:rsid w:val="002A18FD"/>
    <w:rsid w:val="002A252B"/>
    <w:rsid w:val="002B006C"/>
    <w:rsid w:val="002B1B7F"/>
    <w:rsid w:val="002B2979"/>
    <w:rsid w:val="002B2FAD"/>
    <w:rsid w:val="002B3CC5"/>
    <w:rsid w:val="002B3CED"/>
    <w:rsid w:val="002B3EF1"/>
    <w:rsid w:val="002B4965"/>
    <w:rsid w:val="002B4BD2"/>
    <w:rsid w:val="002B4FF0"/>
    <w:rsid w:val="002B5F24"/>
    <w:rsid w:val="002B7045"/>
    <w:rsid w:val="002B7C9A"/>
    <w:rsid w:val="002C0298"/>
    <w:rsid w:val="002C0706"/>
    <w:rsid w:val="002C1117"/>
    <w:rsid w:val="002C329A"/>
    <w:rsid w:val="002C3A94"/>
    <w:rsid w:val="002C3E77"/>
    <w:rsid w:val="002C6C51"/>
    <w:rsid w:val="002C7BE2"/>
    <w:rsid w:val="002D1A47"/>
    <w:rsid w:val="002D22C6"/>
    <w:rsid w:val="002D47B8"/>
    <w:rsid w:val="002D6124"/>
    <w:rsid w:val="002E3B45"/>
    <w:rsid w:val="002E5308"/>
    <w:rsid w:val="002F28D4"/>
    <w:rsid w:val="002F6300"/>
    <w:rsid w:val="002F6391"/>
    <w:rsid w:val="003006D1"/>
    <w:rsid w:val="00301932"/>
    <w:rsid w:val="003022A1"/>
    <w:rsid w:val="003039CA"/>
    <w:rsid w:val="00303C58"/>
    <w:rsid w:val="00305A81"/>
    <w:rsid w:val="00306F0E"/>
    <w:rsid w:val="00307208"/>
    <w:rsid w:val="00311541"/>
    <w:rsid w:val="00312192"/>
    <w:rsid w:val="003123BF"/>
    <w:rsid w:val="00312BF9"/>
    <w:rsid w:val="003135E1"/>
    <w:rsid w:val="0031537E"/>
    <w:rsid w:val="00315794"/>
    <w:rsid w:val="00341316"/>
    <w:rsid w:val="00345A5A"/>
    <w:rsid w:val="0035250C"/>
    <w:rsid w:val="0035413D"/>
    <w:rsid w:val="0035700E"/>
    <w:rsid w:val="00357BA9"/>
    <w:rsid w:val="003628CA"/>
    <w:rsid w:val="00365F00"/>
    <w:rsid w:val="003704AB"/>
    <w:rsid w:val="00374BA2"/>
    <w:rsid w:val="00374D09"/>
    <w:rsid w:val="00375AF6"/>
    <w:rsid w:val="00375D47"/>
    <w:rsid w:val="00375E2B"/>
    <w:rsid w:val="003776E1"/>
    <w:rsid w:val="00377943"/>
    <w:rsid w:val="003835B8"/>
    <w:rsid w:val="003862B0"/>
    <w:rsid w:val="00390EDA"/>
    <w:rsid w:val="0039719E"/>
    <w:rsid w:val="003A00AA"/>
    <w:rsid w:val="003A38F4"/>
    <w:rsid w:val="003A3B2E"/>
    <w:rsid w:val="003A3FF3"/>
    <w:rsid w:val="003A7658"/>
    <w:rsid w:val="003A789E"/>
    <w:rsid w:val="003A7E7C"/>
    <w:rsid w:val="003B05C3"/>
    <w:rsid w:val="003B1EF4"/>
    <w:rsid w:val="003B4B3B"/>
    <w:rsid w:val="003B61A2"/>
    <w:rsid w:val="003B7AFB"/>
    <w:rsid w:val="003C2E5D"/>
    <w:rsid w:val="003C4401"/>
    <w:rsid w:val="003C6C42"/>
    <w:rsid w:val="003D20E9"/>
    <w:rsid w:val="003D338B"/>
    <w:rsid w:val="003D6109"/>
    <w:rsid w:val="003E00AA"/>
    <w:rsid w:val="003E00D2"/>
    <w:rsid w:val="003E1330"/>
    <w:rsid w:val="003E143A"/>
    <w:rsid w:val="003E291D"/>
    <w:rsid w:val="003E3752"/>
    <w:rsid w:val="003E39DD"/>
    <w:rsid w:val="003E3F35"/>
    <w:rsid w:val="003E5C5C"/>
    <w:rsid w:val="003E6C69"/>
    <w:rsid w:val="003F14EA"/>
    <w:rsid w:val="003F3C27"/>
    <w:rsid w:val="003F50D3"/>
    <w:rsid w:val="00402B60"/>
    <w:rsid w:val="004114D6"/>
    <w:rsid w:val="00413A9A"/>
    <w:rsid w:val="004214AE"/>
    <w:rsid w:val="0042608F"/>
    <w:rsid w:val="00431B6B"/>
    <w:rsid w:val="004327B9"/>
    <w:rsid w:val="004327DE"/>
    <w:rsid w:val="00432806"/>
    <w:rsid w:val="0043481D"/>
    <w:rsid w:val="00437174"/>
    <w:rsid w:val="00440940"/>
    <w:rsid w:val="00441248"/>
    <w:rsid w:val="004439F5"/>
    <w:rsid w:val="00444F1D"/>
    <w:rsid w:val="00446553"/>
    <w:rsid w:val="004475ED"/>
    <w:rsid w:val="004512DD"/>
    <w:rsid w:val="00455C40"/>
    <w:rsid w:val="00456F2F"/>
    <w:rsid w:val="00457014"/>
    <w:rsid w:val="004616AA"/>
    <w:rsid w:val="004617F0"/>
    <w:rsid w:val="00463D83"/>
    <w:rsid w:val="00465672"/>
    <w:rsid w:val="00465869"/>
    <w:rsid w:val="00465A23"/>
    <w:rsid w:val="00465B62"/>
    <w:rsid w:val="00467ED8"/>
    <w:rsid w:val="004750DE"/>
    <w:rsid w:val="00475BA3"/>
    <w:rsid w:val="004768AB"/>
    <w:rsid w:val="00476E54"/>
    <w:rsid w:val="0048132B"/>
    <w:rsid w:val="00483B53"/>
    <w:rsid w:val="00490506"/>
    <w:rsid w:val="00492477"/>
    <w:rsid w:val="004964A6"/>
    <w:rsid w:val="00496A86"/>
    <w:rsid w:val="00496FB9"/>
    <w:rsid w:val="004A2062"/>
    <w:rsid w:val="004A2CA3"/>
    <w:rsid w:val="004A525F"/>
    <w:rsid w:val="004A587A"/>
    <w:rsid w:val="004A5ECE"/>
    <w:rsid w:val="004A60C0"/>
    <w:rsid w:val="004B3B00"/>
    <w:rsid w:val="004B56E7"/>
    <w:rsid w:val="004C0E42"/>
    <w:rsid w:val="004C0ED2"/>
    <w:rsid w:val="004C470D"/>
    <w:rsid w:val="004C7FB2"/>
    <w:rsid w:val="004D2B2F"/>
    <w:rsid w:val="004D65B5"/>
    <w:rsid w:val="004D7077"/>
    <w:rsid w:val="004E065A"/>
    <w:rsid w:val="004E17D5"/>
    <w:rsid w:val="004E1CC7"/>
    <w:rsid w:val="004E3191"/>
    <w:rsid w:val="004E3AB4"/>
    <w:rsid w:val="004E3FF2"/>
    <w:rsid w:val="004E4601"/>
    <w:rsid w:val="004F05A2"/>
    <w:rsid w:val="004F0A37"/>
    <w:rsid w:val="004F11AA"/>
    <w:rsid w:val="004F4362"/>
    <w:rsid w:val="004F7F78"/>
    <w:rsid w:val="00510744"/>
    <w:rsid w:val="00510E05"/>
    <w:rsid w:val="00511430"/>
    <w:rsid w:val="00514FDA"/>
    <w:rsid w:val="00515017"/>
    <w:rsid w:val="00516149"/>
    <w:rsid w:val="005165CB"/>
    <w:rsid w:val="005170AC"/>
    <w:rsid w:val="00517958"/>
    <w:rsid w:val="005202A2"/>
    <w:rsid w:val="0052149E"/>
    <w:rsid w:val="00521518"/>
    <w:rsid w:val="00526F54"/>
    <w:rsid w:val="005350CA"/>
    <w:rsid w:val="00535124"/>
    <w:rsid w:val="0054205F"/>
    <w:rsid w:val="005425A7"/>
    <w:rsid w:val="005425F3"/>
    <w:rsid w:val="00544109"/>
    <w:rsid w:val="0054653D"/>
    <w:rsid w:val="00547A0B"/>
    <w:rsid w:val="00550C52"/>
    <w:rsid w:val="00551168"/>
    <w:rsid w:val="00551B4B"/>
    <w:rsid w:val="00552F21"/>
    <w:rsid w:val="005543D3"/>
    <w:rsid w:val="00555011"/>
    <w:rsid w:val="00557E85"/>
    <w:rsid w:val="00565392"/>
    <w:rsid w:val="0056619A"/>
    <w:rsid w:val="00567C36"/>
    <w:rsid w:val="0057176E"/>
    <w:rsid w:val="00572953"/>
    <w:rsid w:val="0057297D"/>
    <w:rsid w:val="00573D03"/>
    <w:rsid w:val="00575711"/>
    <w:rsid w:val="005811B2"/>
    <w:rsid w:val="00582CF2"/>
    <w:rsid w:val="0058372E"/>
    <w:rsid w:val="005851C8"/>
    <w:rsid w:val="0058669D"/>
    <w:rsid w:val="0058673C"/>
    <w:rsid w:val="00591789"/>
    <w:rsid w:val="00593A8A"/>
    <w:rsid w:val="00595069"/>
    <w:rsid w:val="0059557F"/>
    <w:rsid w:val="00595A80"/>
    <w:rsid w:val="005A1535"/>
    <w:rsid w:val="005A5923"/>
    <w:rsid w:val="005B1A90"/>
    <w:rsid w:val="005B597D"/>
    <w:rsid w:val="005C3F45"/>
    <w:rsid w:val="005C3FCB"/>
    <w:rsid w:val="005C535B"/>
    <w:rsid w:val="005C56C7"/>
    <w:rsid w:val="005C7263"/>
    <w:rsid w:val="005D10C6"/>
    <w:rsid w:val="005D1693"/>
    <w:rsid w:val="005D22DD"/>
    <w:rsid w:val="005D3EA5"/>
    <w:rsid w:val="005D4B7E"/>
    <w:rsid w:val="005D51A3"/>
    <w:rsid w:val="005D59AE"/>
    <w:rsid w:val="005E2CEF"/>
    <w:rsid w:val="005E2DAA"/>
    <w:rsid w:val="005E38DF"/>
    <w:rsid w:val="005E5FD4"/>
    <w:rsid w:val="005E62C3"/>
    <w:rsid w:val="005E6CAD"/>
    <w:rsid w:val="005F079B"/>
    <w:rsid w:val="005F3859"/>
    <w:rsid w:val="00602C07"/>
    <w:rsid w:val="0060480D"/>
    <w:rsid w:val="0060670D"/>
    <w:rsid w:val="00613071"/>
    <w:rsid w:val="00613A38"/>
    <w:rsid w:val="0061515A"/>
    <w:rsid w:val="00616C48"/>
    <w:rsid w:val="00623817"/>
    <w:rsid w:val="00623BCF"/>
    <w:rsid w:val="006265CE"/>
    <w:rsid w:val="00627233"/>
    <w:rsid w:val="00630BA5"/>
    <w:rsid w:val="0063498B"/>
    <w:rsid w:val="00643063"/>
    <w:rsid w:val="006434FA"/>
    <w:rsid w:val="0064659A"/>
    <w:rsid w:val="006465D1"/>
    <w:rsid w:val="00650346"/>
    <w:rsid w:val="00652C47"/>
    <w:rsid w:val="00655DA6"/>
    <w:rsid w:val="00663EC5"/>
    <w:rsid w:val="00665F08"/>
    <w:rsid w:val="006707B2"/>
    <w:rsid w:val="00674B25"/>
    <w:rsid w:val="00681428"/>
    <w:rsid w:val="00681995"/>
    <w:rsid w:val="0068241D"/>
    <w:rsid w:val="0068541B"/>
    <w:rsid w:val="006859A2"/>
    <w:rsid w:val="006904BA"/>
    <w:rsid w:val="00691DF5"/>
    <w:rsid w:val="006935CE"/>
    <w:rsid w:val="0069592F"/>
    <w:rsid w:val="00695D04"/>
    <w:rsid w:val="006A2DA7"/>
    <w:rsid w:val="006A2DDB"/>
    <w:rsid w:val="006A6A60"/>
    <w:rsid w:val="006B2AD8"/>
    <w:rsid w:val="006B3645"/>
    <w:rsid w:val="006B46E2"/>
    <w:rsid w:val="006B55F3"/>
    <w:rsid w:val="006B61F4"/>
    <w:rsid w:val="006C750A"/>
    <w:rsid w:val="006C7D8B"/>
    <w:rsid w:val="006D101C"/>
    <w:rsid w:val="006D20AE"/>
    <w:rsid w:val="006D2639"/>
    <w:rsid w:val="006D2E0F"/>
    <w:rsid w:val="006D36E6"/>
    <w:rsid w:val="006D563B"/>
    <w:rsid w:val="006D7DD9"/>
    <w:rsid w:val="006E01C3"/>
    <w:rsid w:val="006E2B21"/>
    <w:rsid w:val="006E370F"/>
    <w:rsid w:val="006E4175"/>
    <w:rsid w:val="006F0D38"/>
    <w:rsid w:val="00702B57"/>
    <w:rsid w:val="007031E9"/>
    <w:rsid w:val="00705A68"/>
    <w:rsid w:val="007069B5"/>
    <w:rsid w:val="00707500"/>
    <w:rsid w:val="00710B2C"/>
    <w:rsid w:val="00714CD5"/>
    <w:rsid w:val="00716D05"/>
    <w:rsid w:val="007171E5"/>
    <w:rsid w:val="007173B1"/>
    <w:rsid w:val="00724780"/>
    <w:rsid w:val="007248BA"/>
    <w:rsid w:val="00726606"/>
    <w:rsid w:val="00733D98"/>
    <w:rsid w:val="00735721"/>
    <w:rsid w:val="00736203"/>
    <w:rsid w:val="0073783F"/>
    <w:rsid w:val="007402C3"/>
    <w:rsid w:val="007427AA"/>
    <w:rsid w:val="0074497A"/>
    <w:rsid w:val="00746D76"/>
    <w:rsid w:val="00751B89"/>
    <w:rsid w:val="0075240A"/>
    <w:rsid w:val="0075271A"/>
    <w:rsid w:val="00752D5B"/>
    <w:rsid w:val="00753D6B"/>
    <w:rsid w:val="00753EED"/>
    <w:rsid w:val="00755479"/>
    <w:rsid w:val="007559AD"/>
    <w:rsid w:val="00755E3B"/>
    <w:rsid w:val="007569B5"/>
    <w:rsid w:val="00763A92"/>
    <w:rsid w:val="00764087"/>
    <w:rsid w:val="00764B12"/>
    <w:rsid w:val="00764E26"/>
    <w:rsid w:val="007657B8"/>
    <w:rsid w:val="007705B8"/>
    <w:rsid w:val="00772EA1"/>
    <w:rsid w:val="007740BB"/>
    <w:rsid w:val="007749A9"/>
    <w:rsid w:val="007768D6"/>
    <w:rsid w:val="007812E0"/>
    <w:rsid w:val="00785228"/>
    <w:rsid w:val="007852BB"/>
    <w:rsid w:val="00785FC1"/>
    <w:rsid w:val="0078720F"/>
    <w:rsid w:val="00792466"/>
    <w:rsid w:val="00795907"/>
    <w:rsid w:val="0079722C"/>
    <w:rsid w:val="007977EA"/>
    <w:rsid w:val="007A20BD"/>
    <w:rsid w:val="007A2C73"/>
    <w:rsid w:val="007A6681"/>
    <w:rsid w:val="007A691F"/>
    <w:rsid w:val="007B2BE8"/>
    <w:rsid w:val="007C2A33"/>
    <w:rsid w:val="007D4879"/>
    <w:rsid w:val="007D4F4A"/>
    <w:rsid w:val="007E52B0"/>
    <w:rsid w:val="007E640D"/>
    <w:rsid w:val="007E6604"/>
    <w:rsid w:val="007F00F3"/>
    <w:rsid w:val="007F4B7E"/>
    <w:rsid w:val="007F5E2A"/>
    <w:rsid w:val="007F7F5E"/>
    <w:rsid w:val="008018E6"/>
    <w:rsid w:val="00807948"/>
    <w:rsid w:val="00811A35"/>
    <w:rsid w:val="008171BE"/>
    <w:rsid w:val="0081743D"/>
    <w:rsid w:val="0082229E"/>
    <w:rsid w:val="00830E1F"/>
    <w:rsid w:val="00835727"/>
    <w:rsid w:val="00836701"/>
    <w:rsid w:val="0083742B"/>
    <w:rsid w:val="00852527"/>
    <w:rsid w:val="00852C00"/>
    <w:rsid w:val="00853DDE"/>
    <w:rsid w:val="008545FE"/>
    <w:rsid w:val="008547F5"/>
    <w:rsid w:val="00856637"/>
    <w:rsid w:val="008614D0"/>
    <w:rsid w:val="00861C57"/>
    <w:rsid w:val="0086212B"/>
    <w:rsid w:val="00865A22"/>
    <w:rsid w:val="0086668F"/>
    <w:rsid w:val="0087037A"/>
    <w:rsid w:val="0087128E"/>
    <w:rsid w:val="008745C7"/>
    <w:rsid w:val="008749AF"/>
    <w:rsid w:val="0087690B"/>
    <w:rsid w:val="00877082"/>
    <w:rsid w:val="00883260"/>
    <w:rsid w:val="008854DD"/>
    <w:rsid w:val="00885709"/>
    <w:rsid w:val="008872AB"/>
    <w:rsid w:val="00891465"/>
    <w:rsid w:val="008930F4"/>
    <w:rsid w:val="0089402A"/>
    <w:rsid w:val="008A0099"/>
    <w:rsid w:val="008A1A46"/>
    <w:rsid w:val="008A2551"/>
    <w:rsid w:val="008A3EA0"/>
    <w:rsid w:val="008A4FFE"/>
    <w:rsid w:val="008A7491"/>
    <w:rsid w:val="008B06DB"/>
    <w:rsid w:val="008B40E6"/>
    <w:rsid w:val="008B46E0"/>
    <w:rsid w:val="008B6A50"/>
    <w:rsid w:val="008B78BD"/>
    <w:rsid w:val="008C1FE6"/>
    <w:rsid w:val="008C2928"/>
    <w:rsid w:val="008C4B75"/>
    <w:rsid w:val="008C74EE"/>
    <w:rsid w:val="008D07F9"/>
    <w:rsid w:val="008D1770"/>
    <w:rsid w:val="008D5893"/>
    <w:rsid w:val="008E0044"/>
    <w:rsid w:val="008E030A"/>
    <w:rsid w:val="008E0A28"/>
    <w:rsid w:val="008E1303"/>
    <w:rsid w:val="008E2490"/>
    <w:rsid w:val="008E57D9"/>
    <w:rsid w:val="008E591F"/>
    <w:rsid w:val="008E73CA"/>
    <w:rsid w:val="008F0CB2"/>
    <w:rsid w:val="008F5A90"/>
    <w:rsid w:val="008F63E4"/>
    <w:rsid w:val="008F7565"/>
    <w:rsid w:val="00901486"/>
    <w:rsid w:val="00904124"/>
    <w:rsid w:val="0090471A"/>
    <w:rsid w:val="00906187"/>
    <w:rsid w:val="00906D38"/>
    <w:rsid w:val="009073B2"/>
    <w:rsid w:val="009112A5"/>
    <w:rsid w:val="00915637"/>
    <w:rsid w:val="009168F8"/>
    <w:rsid w:val="009169FE"/>
    <w:rsid w:val="00917F6C"/>
    <w:rsid w:val="00922C71"/>
    <w:rsid w:val="009231E9"/>
    <w:rsid w:val="009233E9"/>
    <w:rsid w:val="00923A92"/>
    <w:rsid w:val="00924AB7"/>
    <w:rsid w:val="00924AD5"/>
    <w:rsid w:val="00925325"/>
    <w:rsid w:val="0092543A"/>
    <w:rsid w:val="00925863"/>
    <w:rsid w:val="00927F2B"/>
    <w:rsid w:val="0093294C"/>
    <w:rsid w:val="00934A62"/>
    <w:rsid w:val="00936072"/>
    <w:rsid w:val="0093607A"/>
    <w:rsid w:val="009377FC"/>
    <w:rsid w:val="009379AF"/>
    <w:rsid w:val="009444A4"/>
    <w:rsid w:val="009470E3"/>
    <w:rsid w:val="00947ECA"/>
    <w:rsid w:val="009509DD"/>
    <w:rsid w:val="0095173E"/>
    <w:rsid w:val="00957E3C"/>
    <w:rsid w:val="00962698"/>
    <w:rsid w:val="00966675"/>
    <w:rsid w:val="009703F9"/>
    <w:rsid w:val="00972C41"/>
    <w:rsid w:val="009734CD"/>
    <w:rsid w:val="009763E2"/>
    <w:rsid w:val="009777CA"/>
    <w:rsid w:val="00982AFC"/>
    <w:rsid w:val="00983C37"/>
    <w:rsid w:val="00986DF6"/>
    <w:rsid w:val="00987247"/>
    <w:rsid w:val="00990EB9"/>
    <w:rsid w:val="0099320B"/>
    <w:rsid w:val="009934CD"/>
    <w:rsid w:val="00993B9F"/>
    <w:rsid w:val="009A1235"/>
    <w:rsid w:val="009A272C"/>
    <w:rsid w:val="009A7958"/>
    <w:rsid w:val="009B1C9C"/>
    <w:rsid w:val="009B49C8"/>
    <w:rsid w:val="009C003C"/>
    <w:rsid w:val="009C3AB6"/>
    <w:rsid w:val="009C46B6"/>
    <w:rsid w:val="009D0021"/>
    <w:rsid w:val="009D4CBA"/>
    <w:rsid w:val="009D5BC3"/>
    <w:rsid w:val="009D5EFE"/>
    <w:rsid w:val="009D715D"/>
    <w:rsid w:val="009E4AB0"/>
    <w:rsid w:val="009E540B"/>
    <w:rsid w:val="009F40B8"/>
    <w:rsid w:val="009F4B5E"/>
    <w:rsid w:val="009F6D09"/>
    <w:rsid w:val="009F6FA9"/>
    <w:rsid w:val="00A00522"/>
    <w:rsid w:val="00A027BB"/>
    <w:rsid w:val="00A05FD3"/>
    <w:rsid w:val="00A1167B"/>
    <w:rsid w:val="00A15C20"/>
    <w:rsid w:val="00A166F5"/>
    <w:rsid w:val="00A20E65"/>
    <w:rsid w:val="00A21551"/>
    <w:rsid w:val="00A238D8"/>
    <w:rsid w:val="00A23A40"/>
    <w:rsid w:val="00A268A1"/>
    <w:rsid w:val="00A27C4F"/>
    <w:rsid w:val="00A3233B"/>
    <w:rsid w:val="00A32B92"/>
    <w:rsid w:val="00A33BD0"/>
    <w:rsid w:val="00A4494A"/>
    <w:rsid w:val="00A454CA"/>
    <w:rsid w:val="00A51EE3"/>
    <w:rsid w:val="00A55DEB"/>
    <w:rsid w:val="00A63D37"/>
    <w:rsid w:val="00A6426A"/>
    <w:rsid w:val="00A653F4"/>
    <w:rsid w:val="00A66174"/>
    <w:rsid w:val="00A76BC7"/>
    <w:rsid w:val="00A770D9"/>
    <w:rsid w:val="00A81A03"/>
    <w:rsid w:val="00A82255"/>
    <w:rsid w:val="00A832CB"/>
    <w:rsid w:val="00A8415D"/>
    <w:rsid w:val="00A85D1B"/>
    <w:rsid w:val="00A864BC"/>
    <w:rsid w:val="00A86AE0"/>
    <w:rsid w:val="00A86D46"/>
    <w:rsid w:val="00A8758B"/>
    <w:rsid w:val="00A92B51"/>
    <w:rsid w:val="00A93DC6"/>
    <w:rsid w:val="00AA198D"/>
    <w:rsid w:val="00AA6831"/>
    <w:rsid w:val="00AB1244"/>
    <w:rsid w:val="00AB5382"/>
    <w:rsid w:val="00AB549D"/>
    <w:rsid w:val="00AB7B27"/>
    <w:rsid w:val="00AC148F"/>
    <w:rsid w:val="00AD06DA"/>
    <w:rsid w:val="00AD7D7F"/>
    <w:rsid w:val="00AE1103"/>
    <w:rsid w:val="00AE35F0"/>
    <w:rsid w:val="00AE4978"/>
    <w:rsid w:val="00AE645C"/>
    <w:rsid w:val="00AE7D7A"/>
    <w:rsid w:val="00AF0377"/>
    <w:rsid w:val="00AF26D6"/>
    <w:rsid w:val="00B00C53"/>
    <w:rsid w:val="00B01B7D"/>
    <w:rsid w:val="00B03613"/>
    <w:rsid w:val="00B07AB4"/>
    <w:rsid w:val="00B12927"/>
    <w:rsid w:val="00B1528A"/>
    <w:rsid w:val="00B15778"/>
    <w:rsid w:val="00B15EB0"/>
    <w:rsid w:val="00B15FCC"/>
    <w:rsid w:val="00B20523"/>
    <w:rsid w:val="00B23D9D"/>
    <w:rsid w:val="00B25627"/>
    <w:rsid w:val="00B33F2C"/>
    <w:rsid w:val="00B408EA"/>
    <w:rsid w:val="00B41316"/>
    <w:rsid w:val="00B41379"/>
    <w:rsid w:val="00B4545A"/>
    <w:rsid w:val="00B50987"/>
    <w:rsid w:val="00B52295"/>
    <w:rsid w:val="00B52720"/>
    <w:rsid w:val="00B52B5F"/>
    <w:rsid w:val="00B56164"/>
    <w:rsid w:val="00B56788"/>
    <w:rsid w:val="00B64749"/>
    <w:rsid w:val="00B64F0E"/>
    <w:rsid w:val="00B658D3"/>
    <w:rsid w:val="00B65912"/>
    <w:rsid w:val="00B659F9"/>
    <w:rsid w:val="00B67ABA"/>
    <w:rsid w:val="00B801CD"/>
    <w:rsid w:val="00B804FC"/>
    <w:rsid w:val="00B817C3"/>
    <w:rsid w:val="00B82D6F"/>
    <w:rsid w:val="00B9082B"/>
    <w:rsid w:val="00B9179A"/>
    <w:rsid w:val="00B91AD5"/>
    <w:rsid w:val="00B95048"/>
    <w:rsid w:val="00B95FA0"/>
    <w:rsid w:val="00B97759"/>
    <w:rsid w:val="00BA0F70"/>
    <w:rsid w:val="00BA7823"/>
    <w:rsid w:val="00BB0659"/>
    <w:rsid w:val="00BB5E09"/>
    <w:rsid w:val="00BB664E"/>
    <w:rsid w:val="00BB76B7"/>
    <w:rsid w:val="00BC2CD2"/>
    <w:rsid w:val="00BC318E"/>
    <w:rsid w:val="00BC5A9E"/>
    <w:rsid w:val="00BD0AAB"/>
    <w:rsid w:val="00BD2EC3"/>
    <w:rsid w:val="00BD597D"/>
    <w:rsid w:val="00BD6692"/>
    <w:rsid w:val="00BD6FA4"/>
    <w:rsid w:val="00BE1611"/>
    <w:rsid w:val="00BE6950"/>
    <w:rsid w:val="00BE75DB"/>
    <w:rsid w:val="00BF172D"/>
    <w:rsid w:val="00BF2E60"/>
    <w:rsid w:val="00BF3ADA"/>
    <w:rsid w:val="00BF6177"/>
    <w:rsid w:val="00BF768E"/>
    <w:rsid w:val="00BF7995"/>
    <w:rsid w:val="00C0034D"/>
    <w:rsid w:val="00C0078F"/>
    <w:rsid w:val="00C041B6"/>
    <w:rsid w:val="00C0444C"/>
    <w:rsid w:val="00C111E1"/>
    <w:rsid w:val="00C11C77"/>
    <w:rsid w:val="00C1354C"/>
    <w:rsid w:val="00C15BF2"/>
    <w:rsid w:val="00C172E6"/>
    <w:rsid w:val="00C27180"/>
    <w:rsid w:val="00C276BC"/>
    <w:rsid w:val="00C32111"/>
    <w:rsid w:val="00C32A59"/>
    <w:rsid w:val="00C33050"/>
    <w:rsid w:val="00C347ED"/>
    <w:rsid w:val="00C3533E"/>
    <w:rsid w:val="00C369AA"/>
    <w:rsid w:val="00C36E70"/>
    <w:rsid w:val="00C37050"/>
    <w:rsid w:val="00C40631"/>
    <w:rsid w:val="00C406F1"/>
    <w:rsid w:val="00C40F0A"/>
    <w:rsid w:val="00C41696"/>
    <w:rsid w:val="00C45561"/>
    <w:rsid w:val="00C45683"/>
    <w:rsid w:val="00C45FB3"/>
    <w:rsid w:val="00C466CA"/>
    <w:rsid w:val="00C50A4C"/>
    <w:rsid w:val="00C50F8A"/>
    <w:rsid w:val="00C5341B"/>
    <w:rsid w:val="00C53694"/>
    <w:rsid w:val="00C54B5C"/>
    <w:rsid w:val="00C61929"/>
    <w:rsid w:val="00C636B5"/>
    <w:rsid w:val="00C669FD"/>
    <w:rsid w:val="00C670EA"/>
    <w:rsid w:val="00C67EAB"/>
    <w:rsid w:val="00C70B23"/>
    <w:rsid w:val="00C756C9"/>
    <w:rsid w:val="00C77E5D"/>
    <w:rsid w:val="00C87F8E"/>
    <w:rsid w:val="00C93A4D"/>
    <w:rsid w:val="00C976C4"/>
    <w:rsid w:val="00CA1097"/>
    <w:rsid w:val="00CA364E"/>
    <w:rsid w:val="00CA4064"/>
    <w:rsid w:val="00CA6473"/>
    <w:rsid w:val="00CA7A5F"/>
    <w:rsid w:val="00CA7A85"/>
    <w:rsid w:val="00CB2810"/>
    <w:rsid w:val="00CB4C3A"/>
    <w:rsid w:val="00CB529A"/>
    <w:rsid w:val="00CC00C1"/>
    <w:rsid w:val="00CD2966"/>
    <w:rsid w:val="00CD6845"/>
    <w:rsid w:val="00CD70D9"/>
    <w:rsid w:val="00CD7207"/>
    <w:rsid w:val="00CE05F0"/>
    <w:rsid w:val="00CE307E"/>
    <w:rsid w:val="00CF1E29"/>
    <w:rsid w:val="00CF2479"/>
    <w:rsid w:val="00CF3B30"/>
    <w:rsid w:val="00CF4B20"/>
    <w:rsid w:val="00CF6AAC"/>
    <w:rsid w:val="00CF6AF6"/>
    <w:rsid w:val="00D00752"/>
    <w:rsid w:val="00D01537"/>
    <w:rsid w:val="00D04E49"/>
    <w:rsid w:val="00D04ECA"/>
    <w:rsid w:val="00D06AB0"/>
    <w:rsid w:val="00D12992"/>
    <w:rsid w:val="00D12E93"/>
    <w:rsid w:val="00D15A1C"/>
    <w:rsid w:val="00D169E7"/>
    <w:rsid w:val="00D207C1"/>
    <w:rsid w:val="00D22BA8"/>
    <w:rsid w:val="00D24BF4"/>
    <w:rsid w:val="00D3194E"/>
    <w:rsid w:val="00D33801"/>
    <w:rsid w:val="00D35474"/>
    <w:rsid w:val="00D4370A"/>
    <w:rsid w:val="00D44BBF"/>
    <w:rsid w:val="00D46469"/>
    <w:rsid w:val="00D542BF"/>
    <w:rsid w:val="00D542F7"/>
    <w:rsid w:val="00D55D08"/>
    <w:rsid w:val="00D60736"/>
    <w:rsid w:val="00D6155A"/>
    <w:rsid w:val="00D623C8"/>
    <w:rsid w:val="00D64E5E"/>
    <w:rsid w:val="00D67B45"/>
    <w:rsid w:val="00D70C5C"/>
    <w:rsid w:val="00D75BB9"/>
    <w:rsid w:val="00D8406C"/>
    <w:rsid w:val="00D864F6"/>
    <w:rsid w:val="00D87288"/>
    <w:rsid w:val="00D91699"/>
    <w:rsid w:val="00D920F7"/>
    <w:rsid w:val="00D92AAF"/>
    <w:rsid w:val="00D93129"/>
    <w:rsid w:val="00D93BA4"/>
    <w:rsid w:val="00D93BBB"/>
    <w:rsid w:val="00D951A6"/>
    <w:rsid w:val="00D975D3"/>
    <w:rsid w:val="00DA0FF0"/>
    <w:rsid w:val="00DA1599"/>
    <w:rsid w:val="00DA4CA4"/>
    <w:rsid w:val="00DB043F"/>
    <w:rsid w:val="00DB0E5A"/>
    <w:rsid w:val="00DB1E25"/>
    <w:rsid w:val="00DB44BD"/>
    <w:rsid w:val="00DB5CF4"/>
    <w:rsid w:val="00DD0235"/>
    <w:rsid w:val="00DD0273"/>
    <w:rsid w:val="00DD079F"/>
    <w:rsid w:val="00DD0FC8"/>
    <w:rsid w:val="00DD2972"/>
    <w:rsid w:val="00DD53C8"/>
    <w:rsid w:val="00DD6D08"/>
    <w:rsid w:val="00DD7773"/>
    <w:rsid w:val="00DE0BAA"/>
    <w:rsid w:val="00DE2488"/>
    <w:rsid w:val="00DE4E12"/>
    <w:rsid w:val="00DE528B"/>
    <w:rsid w:val="00DE6474"/>
    <w:rsid w:val="00DF03D4"/>
    <w:rsid w:val="00DF0AEA"/>
    <w:rsid w:val="00DF3DB7"/>
    <w:rsid w:val="00DF4F03"/>
    <w:rsid w:val="00DF5FA5"/>
    <w:rsid w:val="00E005B9"/>
    <w:rsid w:val="00E01665"/>
    <w:rsid w:val="00E02142"/>
    <w:rsid w:val="00E032C7"/>
    <w:rsid w:val="00E071E4"/>
    <w:rsid w:val="00E143B1"/>
    <w:rsid w:val="00E17218"/>
    <w:rsid w:val="00E20127"/>
    <w:rsid w:val="00E22E25"/>
    <w:rsid w:val="00E24124"/>
    <w:rsid w:val="00E27F37"/>
    <w:rsid w:val="00E34888"/>
    <w:rsid w:val="00E354A8"/>
    <w:rsid w:val="00E37E33"/>
    <w:rsid w:val="00E417E1"/>
    <w:rsid w:val="00E423E1"/>
    <w:rsid w:val="00E43CAF"/>
    <w:rsid w:val="00E478B8"/>
    <w:rsid w:val="00E54150"/>
    <w:rsid w:val="00E61E57"/>
    <w:rsid w:val="00E62142"/>
    <w:rsid w:val="00E62F66"/>
    <w:rsid w:val="00E64F83"/>
    <w:rsid w:val="00E65D74"/>
    <w:rsid w:val="00E6615D"/>
    <w:rsid w:val="00E710DD"/>
    <w:rsid w:val="00E72867"/>
    <w:rsid w:val="00E73E02"/>
    <w:rsid w:val="00E766BA"/>
    <w:rsid w:val="00E811EE"/>
    <w:rsid w:val="00E82FA4"/>
    <w:rsid w:val="00E839C9"/>
    <w:rsid w:val="00E877EA"/>
    <w:rsid w:val="00E9054A"/>
    <w:rsid w:val="00E9077C"/>
    <w:rsid w:val="00E91535"/>
    <w:rsid w:val="00E923E7"/>
    <w:rsid w:val="00E92876"/>
    <w:rsid w:val="00E936C8"/>
    <w:rsid w:val="00E95BB8"/>
    <w:rsid w:val="00EA0770"/>
    <w:rsid w:val="00EA3E4F"/>
    <w:rsid w:val="00EB3F97"/>
    <w:rsid w:val="00EB43D8"/>
    <w:rsid w:val="00EB4507"/>
    <w:rsid w:val="00EB6296"/>
    <w:rsid w:val="00EB7ED6"/>
    <w:rsid w:val="00EC0107"/>
    <w:rsid w:val="00EC1F35"/>
    <w:rsid w:val="00EC2974"/>
    <w:rsid w:val="00EC322D"/>
    <w:rsid w:val="00EC541F"/>
    <w:rsid w:val="00EC6574"/>
    <w:rsid w:val="00EC7D5E"/>
    <w:rsid w:val="00ED0643"/>
    <w:rsid w:val="00ED1106"/>
    <w:rsid w:val="00ED72D1"/>
    <w:rsid w:val="00ED72D6"/>
    <w:rsid w:val="00ED771B"/>
    <w:rsid w:val="00EE32F1"/>
    <w:rsid w:val="00EE6220"/>
    <w:rsid w:val="00EF17DF"/>
    <w:rsid w:val="00EF451E"/>
    <w:rsid w:val="00EF7831"/>
    <w:rsid w:val="00F02DB0"/>
    <w:rsid w:val="00F0412D"/>
    <w:rsid w:val="00F06154"/>
    <w:rsid w:val="00F138F9"/>
    <w:rsid w:val="00F1726A"/>
    <w:rsid w:val="00F20B3C"/>
    <w:rsid w:val="00F20BCD"/>
    <w:rsid w:val="00F21022"/>
    <w:rsid w:val="00F216E1"/>
    <w:rsid w:val="00F27170"/>
    <w:rsid w:val="00F32D43"/>
    <w:rsid w:val="00F371BF"/>
    <w:rsid w:val="00F40864"/>
    <w:rsid w:val="00F418D6"/>
    <w:rsid w:val="00F442D9"/>
    <w:rsid w:val="00F449BF"/>
    <w:rsid w:val="00F5235D"/>
    <w:rsid w:val="00F55255"/>
    <w:rsid w:val="00F5737C"/>
    <w:rsid w:val="00F63069"/>
    <w:rsid w:val="00F641FD"/>
    <w:rsid w:val="00F657B1"/>
    <w:rsid w:val="00F65EE4"/>
    <w:rsid w:val="00F66BA7"/>
    <w:rsid w:val="00F67295"/>
    <w:rsid w:val="00F67D4B"/>
    <w:rsid w:val="00F70BDE"/>
    <w:rsid w:val="00F72741"/>
    <w:rsid w:val="00F7501E"/>
    <w:rsid w:val="00F77326"/>
    <w:rsid w:val="00F77862"/>
    <w:rsid w:val="00F80533"/>
    <w:rsid w:val="00F8199D"/>
    <w:rsid w:val="00F81C49"/>
    <w:rsid w:val="00F81EE0"/>
    <w:rsid w:val="00F8210B"/>
    <w:rsid w:val="00F835F7"/>
    <w:rsid w:val="00F83B3C"/>
    <w:rsid w:val="00F91C96"/>
    <w:rsid w:val="00F92608"/>
    <w:rsid w:val="00F93C79"/>
    <w:rsid w:val="00F97405"/>
    <w:rsid w:val="00FA00E5"/>
    <w:rsid w:val="00FA11B2"/>
    <w:rsid w:val="00FA2706"/>
    <w:rsid w:val="00FA5C82"/>
    <w:rsid w:val="00FA5F24"/>
    <w:rsid w:val="00FA611E"/>
    <w:rsid w:val="00FA64A0"/>
    <w:rsid w:val="00FB0F24"/>
    <w:rsid w:val="00FB1F69"/>
    <w:rsid w:val="00FB22AA"/>
    <w:rsid w:val="00FB25E9"/>
    <w:rsid w:val="00FB6047"/>
    <w:rsid w:val="00FB6A06"/>
    <w:rsid w:val="00FC2F8B"/>
    <w:rsid w:val="00FC308C"/>
    <w:rsid w:val="00FC6BEC"/>
    <w:rsid w:val="00FD12F1"/>
    <w:rsid w:val="00FD2952"/>
    <w:rsid w:val="00FD2AD5"/>
    <w:rsid w:val="00FD3BF8"/>
    <w:rsid w:val="00FD3CB2"/>
    <w:rsid w:val="00FD4918"/>
    <w:rsid w:val="00FE22BB"/>
    <w:rsid w:val="00FE3268"/>
    <w:rsid w:val="00FE44AD"/>
    <w:rsid w:val="00FE531E"/>
    <w:rsid w:val="00FE5FF7"/>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26B32A-4A0B-4B10-8EC6-4D8A94E0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5B9"/>
    <w:pPr>
      <w:spacing w:after="0" w:line="240" w:lineRule="auto"/>
    </w:pPr>
    <w:rPr>
      <w:rFonts w:ascii="Times New Roman" w:eastAsiaTheme="minorEastAsia" w:hAnsi="Times New Roman" w:cs="Times New Roman"/>
      <w:sz w:val="24"/>
      <w:szCs w:val="24"/>
      <w:lang w:val="en-GB"/>
    </w:rPr>
  </w:style>
  <w:style w:type="paragraph" w:styleId="Heading1">
    <w:name w:val="heading 1"/>
    <w:basedOn w:val="Normal"/>
    <w:next w:val="BodyText"/>
    <w:link w:val="Heading1Char"/>
    <w:qFormat/>
    <w:rsid w:val="005E2CEF"/>
    <w:pPr>
      <w:keepNext/>
      <w:numPr>
        <w:numId w:val="10"/>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uiPriority w:val="9"/>
    <w:qFormat/>
    <w:rsid w:val="005E2CEF"/>
    <w:pPr>
      <w:keepNext/>
      <w:numPr>
        <w:ilvl w:val="1"/>
        <w:numId w:val="10"/>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uiPriority w:val="9"/>
    <w:qFormat/>
    <w:rsid w:val="00175037"/>
    <w:pPr>
      <w:numPr>
        <w:ilvl w:val="2"/>
        <w:numId w:val="10"/>
      </w:numPr>
      <w:spacing w:after="180" w:line="260" w:lineRule="atLeast"/>
      <w:outlineLvl w:val="2"/>
    </w:pPr>
  </w:style>
  <w:style w:type="paragraph" w:styleId="Heading4">
    <w:name w:val="heading 4"/>
    <w:basedOn w:val="Normal"/>
    <w:link w:val="Heading4Char"/>
    <w:qFormat/>
    <w:rsid w:val="00175037"/>
    <w:pPr>
      <w:numPr>
        <w:ilvl w:val="3"/>
        <w:numId w:val="10"/>
      </w:numPr>
      <w:spacing w:after="180" w:line="260" w:lineRule="atLeast"/>
      <w:outlineLvl w:val="3"/>
    </w:pPr>
  </w:style>
  <w:style w:type="paragraph" w:styleId="Heading5">
    <w:name w:val="heading 5"/>
    <w:basedOn w:val="Normal"/>
    <w:link w:val="Heading5Char"/>
    <w:qFormat/>
    <w:rsid w:val="00175037"/>
    <w:pPr>
      <w:numPr>
        <w:ilvl w:val="4"/>
        <w:numId w:val="10"/>
      </w:numPr>
      <w:spacing w:after="180" w:line="260" w:lineRule="atLeast"/>
      <w:outlineLvl w:val="4"/>
    </w:pPr>
  </w:style>
  <w:style w:type="paragraph" w:styleId="Heading6">
    <w:name w:val="heading 6"/>
    <w:basedOn w:val="Normal"/>
    <w:link w:val="Heading6Char"/>
    <w:qFormat/>
    <w:rsid w:val="00175037"/>
    <w:pPr>
      <w:numPr>
        <w:ilvl w:val="5"/>
        <w:numId w:val="10"/>
      </w:numPr>
      <w:spacing w:after="180" w:line="260" w:lineRule="atLeast"/>
      <w:outlineLvl w:val="5"/>
    </w:pPr>
  </w:style>
  <w:style w:type="paragraph" w:styleId="Heading7">
    <w:name w:val="heading 7"/>
    <w:basedOn w:val="Normal"/>
    <w:link w:val="Heading7Char"/>
    <w:qFormat/>
    <w:rsid w:val="00175037"/>
    <w:pPr>
      <w:numPr>
        <w:ilvl w:val="6"/>
        <w:numId w:val="10"/>
      </w:numPr>
      <w:spacing w:after="180" w:line="260" w:lineRule="atLeast"/>
      <w:outlineLvl w:val="6"/>
    </w:pPr>
  </w:style>
  <w:style w:type="paragraph" w:styleId="Heading8">
    <w:name w:val="heading 8"/>
    <w:basedOn w:val="Normal"/>
    <w:next w:val="Normal"/>
    <w:link w:val="Heading8Char"/>
    <w:semiHidden/>
    <w:unhideWhenUsed/>
    <w:qFormat/>
    <w:rsid w:val="00106D82"/>
    <w:pPr>
      <w:keepNext/>
      <w:keepLines/>
      <w:numPr>
        <w:ilvl w:val="7"/>
        <w:numId w:val="10"/>
      </w:numPr>
      <w:spacing w:before="200"/>
      <w:outlineLvl w:val="7"/>
    </w:pPr>
    <w:rPr>
      <w:rFonts w:asciiTheme="majorHAnsi" w:eastAsiaTheme="majorEastAsia" w:hAnsiTheme="majorHAnsi" w:cstheme="majorBidi"/>
      <w:color w:val="878787" w:themeColor="text1" w:themeTint="BF"/>
      <w:sz w:val="20"/>
      <w:szCs w:val="20"/>
    </w:rPr>
  </w:style>
  <w:style w:type="paragraph" w:styleId="Heading9">
    <w:name w:val="heading 9"/>
    <w:basedOn w:val="Normal"/>
    <w:next w:val="Normal"/>
    <w:link w:val="Heading9Char"/>
    <w:semiHidden/>
    <w:unhideWhenUsed/>
    <w:qFormat/>
    <w:rsid w:val="00106D82"/>
    <w:pPr>
      <w:keepNext/>
      <w:keepLines/>
      <w:numPr>
        <w:ilvl w:val="8"/>
        <w:numId w:val="10"/>
      </w:numPr>
      <w:spacing w:before="200"/>
      <w:outlineLvl w:val="8"/>
    </w:pPr>
    <w:rPr>
      <w:rFonts w:asciiTheme="majorHAnsi" w:eastAsiaTheme="majorEastAsia" w:hAnsiTheme="majorHAnsi" w:cstheme="majorBidi"/>
      <w:i/>
      <w:iCs/>
      <w:color w:val="87878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5B597D"/>
    <w:pPr>
      <w:spacing w:after="0" w:line="240" w:lineRule="auto"/>
    </w:pPr>
    <w:rPr>
      <w:bCs/>
      <w:noProof/>
      <w:sz w:val="16"/>
    </w:rPr>
  </w:style>
  <w:style w:type="paragraph" w:customStyle="1" w:styleId="BMKCities">
    <w:name w:val="BMK Cities"/>
    <w:semiHidden/>
    <w:rsid w:val="007069B5"/>
    <w:pPr>
      <w:spacing w:before="30"/>
    </w:pPr>
    <w:rPr>
      <w:noProof/>
      <w:spacing w:val="2"/>
      <w:sz w:val="11"/>
      <w:szCs w:val="11"/>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Normal"/>
    <w:semiHidden/>
    <w:rsid w:val="007069B5"/>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5B597D"/>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Normal"/>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069B5"/>
    <w:pPr>
      <w:spacing w:line="170" w:lineRule="atLeast"/>
    </w:pPr>
    <w:rPr>
      <w:caps/>
      <w:noProof/>
      <w:sz w:val="13"/>
      <w:szCs w:val="13"/>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Normal"/>
    <w:semiHidden/>
    <w:rsid w:val="00746D76"/>
    <w:pPr>
      <w:spacing w:line="260" w:lineRule="atLeast"/>
    </w:pPr>
  </w:style>
  <w:style w:type="paragraph" w:styleId="Footer">
    <w:name w:val="footer"/>
    <w:basedOn w:val="Normal"/>
    <w:link w:val="FooterChar"/>
    <w:uiPriority w:val="99"/>
    <w:rsid w:val="00F80533"/>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99"/>
    <w:semiHidden/>
    <w:rsid w:val="00746D76"/>
    <w:rPr>
      <w:vertAlign w:val="superscript"/>
    </w:rPr>
  </w:style>
  <w:style w:type="paragraph" w:styleId="Header">
    <w:name w:val="header"/>
    <w:basedOn w:val="Normal"/>
    <w:link w:val="HeaderChar"/>
    <w:uiPriority w:val="99"/>
    <w:rsid w:val="00746D76"/>
  </w:style>
  <w:style w:type="paragraph" w:styleId="ListNumber">
    <w:name w:val="List Number"/>
    <w:basedOn w:val="Normal"/>
    <w:uiPriority w:val="7"/>
    <w:qFormat/>
    <w:rsid w:val="0029373F"/>
    <w:pPr>
      <w:numPr>
        <w:numId w:val="4"/>
      </w:numPr>
      <w:spacing w:after="180" w:line="260" w:lineRule="atLeast"/>
    </w:pPr>
  </w:style>
  <w:style w:type="paragraph" w:styleId="FootnoteText">
    <w:name w:val="footnote text"/>
    <w:basedOn w:val="Normal"/>
    <w:link w:val="FootnoteTextChar"/>
    <w:uiPriority w:val="99"/>
    <w:semiHidden/>
    <w:rsid w:val="00746D76"/>
    <w:rPr>
      <w:sz w:val="18"/>
      <w:szCs w:val="20"/>
    </w:rPr>
  </w:style>
  <w:style w:type="paragraph" w:customStyle="1" w:styleId="Bullet1">
    <w:name w:val="Bullet 1"/>
    <w:basedOn w:val="Normal"/>
    <w:uiPriority w:val="8"/>
    <w:qFormat/>
    <w:rsid w:val="00175037"/>
    <w:pPr>
      <w:numPr>
        <w:numId w:val="1"/>
      </w:numPr>
      <w:spacing w:after="180" w:line="260" w:lineRule="atLeast"/>
    </w:pPr>
  </w:style>
  <w:style w:type="paragraph" w:customStyle="1" w:styleId="BMKSubject">
    <w:name w:val="BMK Subject"/>
    <w:basedOn w:val="Normal"/>
    <w:semiHidden/>
    <w:rsid w:val="007069B5"/>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5B597D"/>
    <w:rPr>
      <w:bCs/>
      <w:noProof/>
      <w:sz w:val="16"/>
    </w:rPr>
  </w:style>
  <w:style w:type="paragraph" w:customStyle="1" w:styleId="BMKPrivacyText">
    <w:name w:val="BMK Privacy Text"/>
    <w:basedOn w:val="Footer"/>
    <w:link w:val="BMKPrivacyTextChar"/>
    <w:semiHidden/>
    <w:rsid w:val="007069B5"/>
  </w:style>
  <w:style w:type="paragraph" w:customStyle="1" w:styleId="OtherContact">
    <w:name w:val="OtherContact"/>
    <w:basedOn w:val="Normal"/>
    <w:semiHidden/>
    <w:rsid w:val="007069B5"/>
    <w:rPr>
      <w:rFonts w:asciiTheme="majorHAnsi" w:eastAsiaTheme="majorEastAsia" w:hAnsiTheme="majorHAnsi" w:cstheme="majorHAnsi"/>
      <w:sz w:val="16"/>
    </w:rPr>
  </w:style>
  <w:style w:type="paragraph" w:customStyle="1" w:styleId="Bullet2">
    <w:name w:val="Bullet 2"/>
    <w:basedOn w:val="Normal"/>
    <w:uiPriority w:val="8"/>
    <w:qFormat/>
    <w:rsid w:val="0029373F"/>
    <w:pPr>
      <w:numPr>
        <w:numId w:val="2"/>
      </w:numPr>
      <w:spacing w:line="260" w:lineRule="atLeast"/>
    </w:pPr>
  </w:style>
  <w:style w:type="character" w:customStyle="1" w:styleId="Definition">
    <w:name w:val="Definition"/>
    <w:basedOn w:val="DefaultParagraphFont"/>
    <w:uiPriority w:val="3"/>
    <w:rsid w:val="00F92608"/>
    <w:rPr>
      <w:b/>
      <w:bCs/>
      <w:i w:val="0"/>
      <w:szCs w:val="28"/>
    </w:rPr>
  </w:style>
  <w:style w:type="character" w:styleId="PageNumber">
    <w:name w:val="page number"/>
    <w:basedOn w:val="DefaultParagraphFont"/>
    <w:semiHidden/>
    <w:rsid w:val="00A15C20"/>
    <w:rPr>
      <w:szCs w:val="16"/>
    </w:rPr>
  </w:style>
  <w:style w:type="paragraph" w:customStyle="1" w:styleId="LetterDetail">
    <w:name w:val="LetterDetail"/>
    <w:basedOn w:val="Normal"/>
    <w:semiHidden/>
    <w:rsid w:val="00746D76"/>
    <w:pPr>
      <w:spacing w:line="260" w:lineRule="atLeast"/>
    </w:p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069B5"/>
    <w:pPr>
      <w:spacing w:line="170" w:lineRule="atLeast"/>
    </w:pPr>
    <w:rPr>
      <w:caps/>
      <w:sz w:val="13"/>
    </w:rPr>
  </w:style>
  <w:style w:type="character" w:customStyle="1" w:styleId="Highlight">
    <w:name w:val="Highlight"/>
    <w:semiHidden/>
    <w:rsid w:val="007069B5"/>
    <w:rPr>
      <w:rFonts w:asciiTheme="majorHAnsi" w:eastAsiaTheme="majorEastAsia" w:hAnsiTheme="majorHAnsi" w:cstheme="majorHAnsi"/>
      <w:b/>
    </w:rPr>
  </w:style>
  <w:style w:type="paragraph" w:customStyle="1" w:styleId="TableText">
    <w:name w:val="Table Text"/>
    <w:basedOn w:val="Normal"/>
    <w:uiPriority w:val="6"/>
    <w:semiHidden/>
    <w:rsid w:val="00746D76"/>
    <w:pPr>
      <w:tabs>
        <w:tab w:val="right" w:pos="9072"/>
      </w:tabs>
      <w:spacing w:after="180" w:line="260" w:lineRule="atLeast"/>
    </w:pPr>
  </w:style>
  <w:style w:type="paragraph" w:customStyle="1" w:styleId="TableHeading">
    <w:name w:val="Table Heading"/>
    <w:basedOn w:val="Normal"/>
    <w:next w:val="Normal"/>
    <w:uiPriority w:val="8"/>
    <w:semiHidden/>
    <w:rsid w:val="00BD2EC3"/>
    <w:pPr>
      <w:spacing w:before="120" w:after="120" w:line="240" w:lineRule="atLeast"/>
    </w:pPr>
    <w:rPr>
      <w:rFonts w:ascii="Arial" w:hAnsi="Arial"/>
      <w:caps/>
      <w:sz w:val="16"/>
      <w:szCs w:val="22"/>
    </w:rPr>
  </w:style>
  <w:style w:type="paragraph" w:styleId="ListNumber2">
    <w:name w:val="List Number 2"/>
    <w:basedOn w:val="Normal"/>
    <w:uiPriority w:val="7"/>
    <w:qFormat/>
    <w:rsid w:val="0029373F"/>
    <w:pPr>
      <w:numPr>
        <w:ilvl w:val="1"/>
        <w:numId w:val="4"/>
      </w:numPr>
      <w:spacing w:after="180" w:line="260" w:lineRule="atLeast"/>
    </w:pPr>
  </w:style>
  <w:style w:type="paragraph" w:styleId="ListNumber3">
    <w:name w:val="List Number 3"/>
    <w:basedOn w:val="Normal"/>
    <w:uiPriority w:val="7"/>
    <w:qFormat/>
    <w:rsid w:val="0029373F"/>
    <w:pPr>
      <w:numPr>
        <w:ilvl w:val="2"/>
        <w:numId w:val="4"/>
      </w:numPr>
      <w:spacing w:after="180" w:line="260" w:lineRule="atLeast"/>
    </w:pPr>
  </w:style>
  <w:style w:type="paragraph" w:styleId="ListNumber4">
    <w:name w:val="List Number 4"/>
    <w:basedOn w:val="Normal"/>
    <w:uiPriority w:val="7"/>
    <w:qFormat/>
    <w:rsid w:val="0029373F"/>
    <w:pPr>
      <w:numPr>
        <w:ilvl w:val="3"/>
        <w:numId w:val="4"/>
      </w:numPr>
      <w:spacing w:after="180" w:line="260" w:lineRule="atLeast"/>
    </w:pPr>
  </w:style>
  <w:style w:type="paragraph" w:styleId="BodyText">
    <w:name w:val="Body Text"/>
    <w:basedOn w:val="Normal"/>
    <w:link w:val="BodyTextChar"/>
    <w:uiPriority w:val="99"/>
    <w:qFormat/>
    <w:rsid w:val="00175037"/>
    <w:pPr>
      <w:spacing w:after="180" w:line="260" w:lineRule="atLeast"/>
    </w:pPr>
  </w:style>
  <w:style w:type="paragraph" w:customStyle="1" w:styleId="NormalSingle">
    <w:name w:val="Normal Single"/>
    <w:basedOn w:val="Normal"/>
    <w:uiPriority w:val="6"/>
    <w:semiHidden/>
    <w:rsid w:val="00746D76"/>
    <w:pPr>
      <w:spacing w:line="0" w:lineRule="atLeast"/>
    </w:pPr>
  </w:style>
  <w:style w:type="character" w:styleId="Emphasis">
    <w:name w:val="Emphasis"/>
    <w:semiHidden/>
    <w:rsid w:val="00746D76"/>
    <w:rPr>
      <w:i/>
      <w:iCs/>
    </w:rPr>
  </w:style>
  <w:style w:type="character" w:customStyle="1" w:styleId="BMKMemberFirmNameChar">
    <w:name w:val="BMK Member Firm Name Char"/>
    <w:link w:val="BMKMemberFirmName"/>
    <w:semiHidden/>
    <w:rsid w:val="005B597D"/>
    <w:rPr>
      <w:rFonts w:ascii="Arial" w:eastAsiaTheme="minorEastAsia" w:hAnsi="Arial" w:cs="Times New Roman"/>
      <w:b/>
      <w:bCs/>
      <w:noProof/>
      <w:sz w:val="16"/>
    </w:rPr>
  </w:style>
  <w:style w:type="paragraph" w:customStyle="1" w:styleId="BMKDocumentNameHK">
    <w:name w:val="BMK Document Name HK"/>
    <w:basedOn w:val="Normal"/>
    <w:next w:val="BMKMemberFirmName"/>
    <w:semiHidden/>
    <w:rsid w:val="007069B5"/>
    <w:pPr>
      <w:spacing w:line="200" w:lineRule="atLeast"/>
    </w:pPr>
    <w:rPr>
      <w:rFonts w:ascii="Arial Black" w:eastAsiaTheme="majorEastAsia" w:hAnsi="Arial Black" w:cstheme="majorHAnsi"/>
      <w:noProof/>
      <w:sz w:val="18"/>
      <w:szCs w:val="32"/>
    </w:rPr>
  </w:style>
  <w:style w:type="paragraph" w:styleId="NormalWeb">
    <w:name w:val="Normal (Web)"/>
    <w:basedOn w:val="Normal"/>
    <w:uiPriority w:val="99"/>
    <w:rsid w:val="007069B5"/>
  </w:style>
  <w:style w:type="character" w:customStyle="1" w:styleId="FooterChar">
    <w:name w:val="Footer Char"/>
    <w:link w:val="Footer"/>
    <w:uiPriority w:val="99"/>
    <w:rsid w:val="00F80533"/>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282861"/>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7069B5"/>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746D76"/>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7069B5"/>
    <w:rPr>
      <w:rFonts w:asciiTheme="majorHAnsi" w:eastAsiaTheme="majorEastAsia" w:hAnsiTheme="majorHAnsi" w:cstheme="majorHAnsi"/>
      <w:noProof/>
      <w:sz w:val="16"/>
      <w:szCs w:val="22"/>
    </w:rPr>
  </w:style>
  <w:style w:type="paragraph" w:styleId="BodyTextFirstIndent">
    <w:name w:val="Body Text First Indent"/>
    <w:basedOn w:val="BodyText"/>
    <w:uiPriority w:val="6"/>
    <w:semiHidden/>
    <w:rsid w:val="00746D76"/>
    <w:pPr>
      <w:spacing w:after="120" w:line="240" w:lineRule="auto"/>
      <w:ind w:firstLine="210"/>
    </w:pPr>
  </w:style>
  <w:style w:type="paragraph" w:customStyle="1" w:styleId="FooterIndent">
    <w:name w:val="Footer Indent"/>
    <w:basedOn w:val="Footer"/>
    <w:semiHidden/>
    <w:rsid w:val="00746D76"/>
    <w:pPr>
      <w:ind w:left="1208"/>
    </w:pPr>
  </w:style>
  <w:style w:type="paragraph" w:customStyle="1" w:styleId="BMKCitiesSpace">
    <w:name w:val="BMK Cities Space"/>
    <w:basedOn w:val="BMKCities"/>
    <w:semiHidden/>
    <w:rsid w:val="00746D76"/>
    <w:pPr>
      <w:spacing w:before="0"/>
    </w:pPr>
  </w:style>
  <w:style w:type="character" w:styleId="Hyperlink">
    <w:name w:val="Hyperlink"/>
    <w:uiPriority w:val="99"/>
    <w:semiHidden/>
    <w:rsid w:val="00746D76"/>
    <w:rPr>
      <w:color w:val="0000FF"/>
      <w:u w:val="single"/>
    </w:rPr>
  </w:style>
  <w:style w:type="paragraph" w:customStyle="1" w:styleId="BMKSalutation">
    <w:name w:val="BMK Salutation"/>
    <w:basedOn w:val="Normal"/>
    <w:semiHidden/>
    <w:rsid w:val="00746D76"/>
    <w:pPr>
      <w:spacing w:line="260" w:lineRule="atLeast"/>
    </w:pPr>
  </w:style>
  <w:style w:type="paragraph" w:customStyle="1" w:styleId="BMKDate">
    <w:name w:val="BMKDate"/>
    <w:basedOn w:val="Normal"/>
    <w:semiHidden/>
    <w:rsid w:val="00746D76"/>
    <w:pPr>
      <w:spacing w:line="260" w:lineRule="atLeast"/>
    </w:pPr>
  </w:style>
  <w:style w:type="paragraph" w:customStyle="1" w:styleId="BMKAddress1">
    <w:name w:val="BMK Address1"/>
    <w:basedOn w:val="Normal"/>
    <w:semiHidden/>
    <w:rsid w:val="00746D76"/>
    <w:pPr>
      <w:spacing w:line="260" w:lineRule="atLeast"/>
    </w:pPr>
  </w:style>
  <w:style w:type="paragraph" w:customStyle="1" w:styleId="BMKAttention">
    <w:name w:val="BMK Attention"/>
    <w:basedOn w:val="Normal"/>
    <w:semiHidden/>
    <w:rsid w:val="00746D76"/>
    <w:pPr>
      <w:spacing w:line="260" w:lineRule="atLeast"/>
    </w:pPr>
  </w:style>
  <w:style w:type="paragraph" w:customStyle="1" w:styleId="BMKSubtitle">
    <w:name w:val="BMK Subtitle"/>
    <w:basedOn w:val="Normal"/>
    <w:next w:val="BodyText"/>
    <w:semiHidden/>
    <w:rsid w:val="007069B5"/>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7069B5"/>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746D76"/>
    <w:rPr>
      <w:b/>
      <w:bCs/>
      <w:smallCaps/>
      <w:spacing w:val="5"/>
    </w:rPr>
  </w:style>
  <w:style w:type="character" w:styleId="Strong">
    <w:name w:val="Strong"/>
    <w:basedOn w:val="DefaultParagraphFont"/>
    <w:semiHidden/>
    <w:rsid w:val="00746D76"/>
    <w:rPr>
      <w:b/>
      <w:bCs/>
    </w:rPr>
  </w:style>
  <w:style w:type="character" w:styleId="SubtleEmphasis">
    <w:name w:val="Subtle Emphasis"/>
    <w:basedOn w:val="DefaultParagraphFont"/>
    <w:uiPriority w:val="19"/>
    <w:semiHidden/>
    <w:rsid w:val="00746D76"/>
    <w:rPr>
      <w:i/>
      <w:iCs/>
      <w:color w:val="AFAFAF" w:themeColor="text1" w:themeTint="7F"/>
    </w:rPr>
  </w:style>
  <w:style w:type="character" w:styleId="SubtleReference">
    <w:name w:val="Subtle Reference"/>
    <w:basedOn w:val="DefaultParagraphFont"/>
    <w:uiPriority w:val="31"/>
    <w:semiHidden/>
    <w:rsid w:val="00746D76"/>
    <w:rPr>
      <w:smallCaps/>
      <w:color w:val="EBB700" w:themeColor="accent2"/>
      <w:u w:val="single"/>
    </w:rPr>
  </w:style>
  <w:style w:type="paragraph" w:styleId="NoSpacing">
    <w:name w:val="No Spacing"/>
    <w:uiPriority w:val="6"/>
    <w:semiHidden/>
    <w:rsid w:val="007069B5"/>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746D76"/>
    <w:rPr>
      <w:b/>
      <w:bCs/>
      <w:i/>
      <w:iCs/>
      <w:color w:val="A71930" w:themeColor="accent1"/>
    </w:rPr>
  </w:style>
  <w:style w:type="paragraph" w:styleId="IntenseQuote">
    <w:name w:val="Intense Quote"/>
    <w:basedOn w:val="Normal"/>
    <w:next w:val="Normal"/>
    <w:link w:val="IntenseQuoteChar"/>
    <w:uiPriority w:val="30"/>
    <w:semiHidden/>
    <w:rsid w:val="00746D76"/>
    <w:pPr>
      <w:pBdr>
        <w:bottom w:val="single" w:sz="4" w:space="4" w:color="A71930" w:themeColor="accent1"/>
      </w:pBdr>
      <w:spacing w:before="200" w:after="280"/>
      <w:ind w:left="936" w:right="936"/>
    </w:pPr>
    <w:rPr>
      <w:b/>
      <w:bCs/>
      <w:i/>
      <w:iCs/>
      <w:color w:val="A71930" w:themeColor="accent1"/>
    </w:rPr>
  </w:style>
  <w:style w:type="character" w:customStyle="1" w:styleId="IntenseQuoteChar">
    <w:name w:val="Intense Quote Char"/>
    <w:basedOn w:val="DefaultParagraphFont"/>
    <w:link w:val="IntenseQuote"/>
    <w:uiPriority w:val="30"/>
    <w:semiHidden/>
    <w:rsid w:val="00746D76"/>
    <w:rPr>
      <w:b/>
      <w:bCs/>
      <w:i/>
      <w:iCs/>
      <w:color w:val="A71930" w:themeColor="accent1"/>
      <w:sz w:val="22"/>
      <w:szCs w:val="24"/>
    </w:rPr>
  </w:style>
  <w:style w:type="paragraph" w:styleId="Quote">
    <w:name w:val="Quote"/>
    <w:basedOn w:val="Normal"/>
    <w:next w:val="Normal"/>
    <w:link w:val="QuoteChar"/>
    <w:uiPriority w:val="29"/>
    <w:semiHidden/>
    <w:rsid w:val="00746D76"/>
    <w:rPr>
      <w:i/>
      <w:iCs/>
      <w:color w:val="5F5F5F" w:themeColor="text1"/>
    </w:rPr>
  </w:style>
  <w:style w:type="character" w:customStyle="1" w:styleId="QuoteChar">
    <w:name w:val="Quote Char"/>
    <w:basedOn w:val="DefaultParagraphFont"/>
    <w:link w:val="Quote"/>
    <w:uiPriority w:val="29"/>
    <w:semiHidden/>
    <w:rsid w:val="00746D76"/>
    <w:rPr>
      <w:i/>
      <w:iCs/>
      <w:color w:val="5F5F5F" w:themeColor="text1"/>
      <w:sz w:val="22"/>
      <w:szCs w:val="24"/>
    </w:rPr>
  </w:style>
  <w:style w:type="character" w:styleId="IntenseReference">
    <w:name w:val="Intense Reference"/>
    <w:basedOn w:val="DefaultParagraphFont"/>
    <w:uiPriority w:val="32"/>
    <w:semiHidden/>
    <w:rsid w:val="00746D76"/>
    <w:rPr>
      <w:b/>
      <w:bCs/>
      <w:smallCaps/>
      <w:color w:val="EBB700" w:themeColor="accent2"/>
      <w:spacing w:val="5"/>
      <w:u w:val="single"/>
    </w:rPr>
  </w:style>
  <w:style w:type="paragraph" w:styleId="ListParagraph">
    <w:name w:val="List Paragraph"/>
    <w:basedOn w:val="Normal"/>
    <w:link w:val="ListParagraphChar"/>
    <w:uiPriority w:val="34"/>
    <w:qFormat/>
    <w:rsid w:val="00746D76"/>
    <w:pPr>
      <w:ind w:left="720"/>
      <w:contextualSpacing/>
    </w:pPr>
  </w:style>
  <w:style w:type="paragraph" w:customStyle="1" w:styleId="SubHeading">
    <w:name w:val="Sub Heading"/>
    <w:basedOn w:val="Normal"/>
    <w:next w:val="BodyText"/>
    <w:rsid w:val="00207040"/>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29373F"/>
    <w:pPr>
      <w:numPr>
        <w:ilvl w:val="1"/>
        <w:numId w:val="6"/>
      </w:numPr>
      <w:spacing w:after="180" w:line="260" w:lineRule="atLeast"/>
    </w:pPr>
  </w:style>
  <w:style w:type="paragraph" w:customStyle="1" w:styleId="DA0">
    <w:name w:val="D(A)"/>
    <w:basedOn w:val="Normal"/>
    <w:uiPriority w:val="6"/>
    <w:rsid w:val="0029373F"/>
    <w:pPr>
      <w:numPr>
        <w:ilvl w:val="3"/>
        <w:numId w:val="6"/>
      </w:numPr>
      <w:spacing w:after="180" w:line="260" w:lineRule="atLeast"/>
    </w:pPr>
  </w:style>
  <w:style w:type="paragraph" w:customStyle="1" w:styleId="Di">
    <w:name w:val="D(i)"/>
    <w:basedOn w:val="Normal"/>
    <w:uiPriority w:val="5"/>
    <w:rsid w:val="0029373F"/>
    <w:pPr>
      <w:numPr>
        <w:ilvl w:val="2"/>
        <w:numId w:val="6"/>
      </w:numPr>
      <w:spacing w:after="180" w:line="260" w:lineRule="atLeast"/>
    </w:pPr>
  </w:style>
  <w:style w:type="paragraph" w:customStyle="1" w:styleId="DefinitionParagraph">
    <w:name w:val="Definition Paragraph"/>
    <w:basedOn w:val="Normal"/>
    <w:uiPriority w:val="2"/>
    <w:rsid w:val="0029373F"/>
    <w:pPr>
      <w:numPr>
        <w:numId w:val="6"/>
      </w:numPr>
      <w:spacing w:after="180" w:line="260" w:lineRule="atLeast"/>
    </w:pPr>
  </w:style>
  <w:style w:type="paragraph" w:customStyle="1" w:styleId="SchH1">
    <w:name w:val="SchH1"/>
    <w:basedOn w:val="Normal"/>
    <w:next w:val="BodyText"/>
    <w:uiPriority w:val="6"/>
    <w:rsid w:val="00CE05F0"/>
    <w:pPr>
      <w:keepNext/>
      <w:numPr>
        <w:numId w:val="9"/>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CE05F0"/>
    <w:pPr>
      <w:keepNext/>
      <w:numPr>
        <w:ilvl w:val="1"/>
        <w:numId w:val="9"/>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CE05F0"/>
    <w:pPr>
      <w:numPr>
        <w:ilvl w:val="2"/>
        <w:numId w:val="9"/>
      </w:numPr>
      <w:spacing w:after="180" w:line="260" w:lineRule="atLeast"/>
    </w:pPr>
  </w:style>
  <w:style w:type="paragraph" w:customStyle="1" w:styleId="SchH4">
    <w:name w:val="SchH4"/>
    <w:basedOn w:val="Normal"/>
    <w:uiPriority w:val="6"/>
    <w:rsid w:val="00CE05F0"/>
    <w:pPr>
      <w:numPr>
        <w:ilvl w:val="3"/>
        <w:numId w:val="9"/>
      </w:numPr>
      <w:spacing w:after="180" w:line="260" w:lineRule="atLeast"/>
    </w:pPr>
  </w:style>
  <w:style w:type="paragraph" w:customStyle="1" w:styleId="SchH5">
    <w:name w:val="SchH5"/>
    <w:basedOn w:val="Normal"/>
    <w:uiPriority w:val="6"/>
    <w:rsid w:val="00CE05F0"/>
    <w:pPr>
      <w:numPr>
        <w:ilvl w:val="4"/>
        <w:numId w:val="9"/>
      </w:numPr>
      <w:spacing w:after="180" w:line="260" w:lineRule="atLeast"/>
    </w:pPr>
  </w:style>
  <w:style w:type="paragraph" w:customStyle="1" w:styleId="SchH6">
    <w:name w:val="SchH6"/>
    <w:basedOn w:val="Normal"/>
    <w:uiPriority w:val="6"/>
    <w:rsid w:val="00CE05F0"/>
    <w:pPr>
      <w:numPr>
        <w:ilvl w:val="5"/>
        <w:numId w:val="9"/>
      </w:numPr>
      <w:spacing w:after="180" w:line="260" w:lineRule="atLeast"/>
    </w:pPr>
  </w:style>
  <w:style w:type="paragraph" w:customStyle="1" w:styleId="SchSH">
    <w:name w:val="SchSH"/>
    <w:basedOn w:val="Normal"/>
    <w:next w:val="BodyText"/>
    <w:uiPriority w:val="6"/>
    <w:rsid w:val="0029373F"/>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4B3B00"/>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4B3B00"/>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4B3B00"/>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7069B5"/>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5E2CEF"/>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CE05F0"/>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Normal"/>
    <w:next w:val="BodyText"/>
    <w:uiPriority w:val="11"/>
    <w:semiHidden/>
    <w:rsid w:val="00BB0659"/>
    <w:pPr>
      <w:pBdr>
        <w:bottom w:val="single" w:sz="4" w:space="9" w:color="auto"/>
      </w:pBdr>
      <w:spacing w:after="180" w:line="260" w:lineRule="exact"/>
    </w:pPr>
    <w:rPr>
      <w:rFonts w:asciiTheme="majorHAnsi" w:eastAsiaTheme="majorEastAsia" w:hAnsiTheme="majorHAnsi" w:cstheme="majorHAnsi"/>
      <w:b/>
      <w:bCs/>
    </w:rPr>
  </w:style>
  <w:style w:type="paragraph" w:styleId="TOC5">
    <w:name w:val="toc 5"/>
    <w:basedOn w:val="Normal"/>
    <w:next w:val="Normal"/>
    <w:autoRedefine/>
    <w:semiHidden/>
    <w:rsid w:val="00746D76"/>
    <w:pPr>
      <w:spacing w:after="100"/>
      <w:ind w:left="880"/>
    </w:pPr>
  </w:style>
  <w:style w:type="paragraph" w:styleId="TOC6">
    <w:name w:val="toc 6"/>
    <w:basedOn w:val="Normal"/>
    <w:next w:val="Normal"/>
    <w:autoRedefine/>
    <w:semiHidden/>
    <w:rsid w:val="00746D76"/>
    <w:pPr>
      <w:spacing w:after="100"/>
      <w:ind w:left="1100"/>
    </w:pPr>
  </w:style>
  <w:style w:type="paragraph" w:styleId="TOC7">
    <w:name w:val="toc 7"/>
    <w:basedOn w:val="Normal"/>
    <w:next w:val="Normal"/>
    <w:autoRedefine/>
    <w:semiHidden/>
    <w:rsid w:val="00746D76"/>
    <w:pPr>
      <w:spacing w:after="100"/>
      <w:ind w:left="1320"/>
    </w:pPr>
  </w:style>
  <w:style w:type="paragraph" w:styleId="TOC8">
    <w:name w:val="toc 8"/>
    <w:basedOn w:val="Normal"/>
    <w:next w:val="Normal"/>
    <w:autoRedefine/>
    <w:semiHidden/>
    <w:rsid w:val="00746D76"/>
    <w:pPr>
      <w:spacing w:after="100"/>
      <w:ind w:left="1540"/>
    </w:pPr>
  </w:style>
  <w:style w:type="paragraph" w:styleId="TOC9">
    <w:name w:val="toc 9"/>
    <w:basedOn w:val="Normal"/>
    <w:next w:val="Normal"/>
    <w:autoRedefine/>
    <w:semiHidden/>
    <w:rsid w:val="00746D76"/>
    <w:pPr>
      <w:spacing w:after="100"/>
      <w:ind w:left="1760"/>
    </w:pPr>
  </w:style>
  <w:style w:type="character" w:customStyle="1" w:styleId="Heading7Char">
    <w:name w:val="Heading 7 Char"/>
    <w:basedOn w:val="DefaultParagraphFont"/>
    <w:link w:val="Heading7"/>
    <w:rsid w:val="00492477"/>
    <w:rPr>
      <w:rFonts w:ascii="Times New Roman" w:eastAsiaTheme="minorEastAsia" w:hAnsi="Times New Roman" w:cs="Times New Roman"/>
      <w:sz w:val="24"/>
      <w:szCs w:val="24"/>
      <w:lang w:val="en-GB"/>
    </w:rPr>
  </w:style>
  <w:style w:type="paragraph" w:customStyle="1" w:styleId="Recital">
    <w:name w:val="Recital"/>
    <w:basedOn w:val="Normal"/>
    <w:uiPriority w:val="7"/>
    <w:rsid w:val="0029373F"/>
    <w:pPr>
      <w:numPr>
        <w:numId w:val="7"/>
      </w:numPr>
      <w:spacing w:after="180" w:line="260" w:lineRule="atLeast"/>
    </w:pPr>
  </w:style>
  <w:style w:type="character" w:customStyle="1" w:styleId="DMReference">
    <w:name w:val="DMReference"/>
    <w:basedOn w:val="FooterChar"/>
    <w:semiHidden/>
    <w:rsid w:val="00CD2966"/>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DE2488"/>
    <w:pPr>
      <w:spacing w:after="180" w:line="260" w:lineRule="exact"/>
      <w:ind w:left="709"/>
    </w:pPr>
  </w:style>
  <w:style w:type="character" w:customStyle="1" w:styleId="BodyTextIndentChar">
    <w:name w:val="Body Text Indent Char"/>
    <w:basedOn w:val="DefaultParagraphFont"/>
    <w:link w:val="BodyTextIndent"/>
    <w:rsid w:val="00DE2488"/>
    <w:rPr>
      <w:rFonts w:eastAsiaTheme="minorEastAsia"/>
      <w:szCs w:val="28"/>
    </w:rPr>
  </w:style>
  <w:style w:type="paragraph" w:customStyle="1" w:styleId="BodyTextIndent4">
    <w:name w:val="Body Text Indent 4"/>
    <w:basedOn w:val="BodyTextIndent"/>
    <w:qFormat/>
    <w:rsid w:val="00DE2488"/>
    <w:pPr>
      <w:numPr>
        <w:ilvl w:val="2"/>
      </w:numPr>
      <w:spacing w:line="260" w:lineRule="atLeast"/>
      <w:ind w:left="1418"/>
    </w:pPr>
  </w:style>
  <w:style w:type="paragraph" w:customStyle="1" w:styleId="BodyTextIndent5">
    <w:name w:val="Body Text Indent 5"/>
    <w:basedOn w:val="BodyTextIndent4"/>
    <w:qFormat/>
    <w:rsid w:val="00DE2488"/>
    <w:pPr>
      <w:numPr>
        <w:ilvl w:val="3"/>
      </w:numPr>
      <w:ind w:left="2126"/>
    </w:pPr>
  </w:style>
  <w:style w:type="paragraph" w:customStyle="1" w:styleId="BodyTextIndent6">
    <w:name w:val="Body Text Indent 6"/>
    <w:basedOn w:val="BodyTextIndent5"/>
    <w:qFormat/>
    <w:rsid w:val="00DE2488"/>
    <w:pPr>
      <w:numPr>
        <w:ilvl w:val="4"/>
      </w:numPr>
      <w:ind w:left="2835"/>
    </w:pPr>
  </w:style>
  <w:style w:type="table" w:customStyle="1" w:styleId="TableHorizontalShadedBlue">
    <w:name w:val="Table Horizontal Shaded Blue"/>
    <w:basedOn w:val="TableNormal"/>
    <w:rsid w:val="00002665"/>
    <w:pPr>
      <w:spacing w:after="0" w:line="240" w:lineRule="auto"/>
    </w:pPr>
    <w:rPr>
      <w:rFonts w:ascii="Arial" w:eastAsia="Times New Roman" w:hAnsi="Arial" w:cs="Times New Roman"/>
      <w:sz w:val="20"/>
      <w:szCs w:val="20"/>
    </w:rPr>
    <w:tblPr>
      <w:tblInd w:w="113" w:type="dxa"/>
      <w:tblBorders>
        <w:top w:val="single" w:sz="4" w:space="0" w:color="6773B6"/>
        <w:bottom w:val="single" w:sz="4" w:space="0" w:color="6773B6"/>
        <w:insideH w:val="single" w:sz="4" w:space="0" w:color="6773B6"/>
        <w:insideV w:val="single" w:sz="4" w:space="0" w:color="6773B6"/>
      </w:tblBorders>
      <w:tblCellMar>
        <w:top w:w="0" w:type="dxa"/>
        <w:left w:w="108" w:type="dxa"/>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rsid w:val="00BD2EC3"/>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4A525F"/>
    <w:pPr>
      <w:numPr>
        <w:numId w:val="8"/>
      </w:numPr>
      <w:spacing w:before="120" w:after="60" w:line="240" w:lineRule="atLeast"/>
    </w:pPr>
    <w:rPr>
      <w:rFonts w:ascii="Arial" w:hAnsi="Arial"/>
      <w:b/>
      <w:sz w:val="20"/>
      <w:szCs w:val="26"/>
    </w:rPr>
  </w:style>
  <w:style w:type="paragraph" w:customStyle="1" w:styleId="SchH7">
    <w:name w:val="SchH7"/>
    <w:basedOn w:val="Normal"/>
    <w:uiPriority w:val="6"/>
    <w:rsid w:val="00CE05F0"/>
    <w:pPr>
      <w:numPr>
        <w:ilvl w:val="6"/>
        <w:numId w:val="9"/>
      </w:numPr>
      <w:spacing w:after="180" w:line="260" w:lineRule="atLeast"/>
    </w:pPr>
  </w:style>
  <w:style w:type="character" w:styleId="CommentReference">
    <w:name w:val="annotation reference"/>
    <w:basedOn w:val="DefaultParagraphFont"/>
    <w:semiHidden/>
    <w:unhideWhenUsed/>
    <w:rsid w:val="0028350B"/>
    <w:rPr>
      <w:sz w:val="16"/>
      <w:szCs w:val="16"/>
    </w:rPr>
  </w:style>
  <w:style w:type="paragraph" w:styleId="CommentText">
    <w:name w:val="annotation text"/>
    <w:basedOn w:val="Normal"/>
    <w:link w:val="CommentTextChar"/>
    <w:semiHidden/>
    <w:unhideWhenUsed/>
    <w:rsid w:val="0028350B"/>
    <w:rPr>
      <w:rFonts w:asciiTheme="minorHAnsi" w:hAnsiTheme="minorHAnsi" w:cstheme="minorBidi"/>
      <w:sz w:val="20"/>
      <w:szCs w:val="20"/>
    </w:rPr>
  </w:style>
  <w:style w:type="character" w:customStyle="1" w:styleId="CommentTextChar">
    <w:name w:val="Comment Text Char"/>
    <w:basedOn w:val="DefaultParagraphFont"/>
    <w:link w:val="CommentText"/>
    <w:semiHidden/>
    <w:rsid w:val="0028350B"/>
    <w:rPr>
      <w:rFonts w:eastAsiaTheme="minorEastAsia"/>
      <w:sz w:val="20"/>
      <w:szCs w:val="20"/>
      <w:lang w:val="en-GB"/>
    </w:rPr>
  </w:style>
  <w:style w:type="paragraph" w:styleId="BalloonText">
    <w:name w:val="Balloon Text"/>
    <w:basedOn w:val="Normal"/>
    <w:link w:val="BalloonTextChar"/>
    <w:semiHidden/>
    <w:unhideWhenUsed/>
    <w:rsid w:val="0028350B"/>
    <w:rPr>
      <w:rFonts w:ascii="Tahoma" w:hAnsi="Tahoma" w:cs="Tahoma"/>
      <w:sz w:val="16"/>
      <w:szCs w:val="16"/>
    </w:rPr>
  </w:style>
  <w:style w:type="character" w:customStyle="1" w:styleId="BalloonTextChar">
    <w:name w:val="Balloon Text Char"/>
    <w:basedOn w:val="DefaultParagraphFont"/>
    <w:link w:val="BalloonText"/>
    <w:semiHidden/>
    <w:rsid w:val="0028350B"/>
    <w:rPr>
      <w:rFonts w:ascii="Tahoma" w:eastAsiaTheme="minorEastAsia" w:hAnsi="Tahoma" w:cs="Tahoma"/>
      <w:sz w:val="16"/>
      <w:szCs w:val="16"/>
      <w:lang w:val="en-GB"/>
    </w:rPr>
  </w:style>
  <w:style w:type="character" w:customStyle="1" w:styleId="ListParagraphChar">
    <w:name w:val="List Paragraph Char"/>
    <w:link w:val="ListParagraph"/>
    <w:uiPriority w:val="34"/>
    <w:locked/>
    <w:rsid w:val="003E1330"/>
    <w:rPr>
      <w:rFonts w:ascii="Times New Roman" w:eastAsiaTheme="minorEastAsia"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DF0AEA"/>
    <w:rPr>
      <w:rFonts w:ascii="Times New Roman" w:hAnsi="Times New Roman" w:cs="Times New Roman"/>
      <w:b/>
      <w:bCs/>
    </w:rPr>
  </w:style>
  <w:style w:type="character" w:customStyle="1" w:styleId="CommentSubjectChar">
    <w:name w:val="Comment Subject Char"/>
    <w:basedOn w:val="CommentTextChar"/>
    <w:link w:val="CommentSubject"/>
    <w:semiHidden/>
    <w:rsid w:val="00DF0AEA"/>
    <w:rPr>
      <w:rFonts w:ascii="Times New Roman" w:eastAsiaTheme="minorEastAsia" w:hAnsi="Times New Roman" w:cs="Times New Roman"/>
      <w:b/>
      <w:bCs/>
      <w:sz w:val="20"/>
      <w:szCs w:val="20"/>
      <w:lang w:val="en-GB"/>
    </w:rPr>
  </w:style>
  <w:style w:type="paragraph" w:styleId="Revision">
    <w:name w:val="Revision"/>
    <w:hidden/>
    <w:uiPriority w:val="99"/>
    <w:semiHidden/>
    <w:rsid w:val="00DF0AEA"/>
    <w:pPr>
      <w:spacing w:after="0" w:line="240" w:lineRule="auto"/>
    </w:pPr>
    <w:rPr>
      <w:rFonts w:ascii="Times New Roman" w:eastAsiaTheme="minorEastAsia" w:hAnsi="Times New Roman" w:cs="Times New Roman"/>
      <w:sz w:val="24"/>
      <w:szCs w:val="24"/>
      <w:lang w:val="en-GB"/>
    </w:rPr>
  </w:style>
  <w:style w:type="character" w:customStyle="1" w:styleId="HeaderChar">
    <w:name w:val="Header Char"/>
    <w:basedOn w:val="DefaultParagraphFont"/>
    <w:link w:val="Header"/>
    <w:uiPriority w:val="99"/>
    <w:rsid w:val="00795907"/>
    <w:rPr>
      <w:rFonts w:ascii="Times New Roman" w:eastAsiaTheme="minorEastAsia" w:hAnsi="Times New Roman" w:cs="Times New Roman"/>
      <w:sz w:val="24"/>
      <w:szCs w:val="24"/>
      <w:lang w:val="en-GB"/>
    </w:rPr>
  </w:style>
  <w:style w:type="character" w:customStyle="1" w:styleId="Heading2Char">
    <w:name w:val="Heading 2 Char"/>
    <w:basedOn w:val="DefaultParagraphFont"/>
    <w:link w:val="Heading2"/>
    <w:uiPriority w:val="9"/>
    <w:rsid w:val="00A864BC"/>
    <w:rPr>
      <w:rFonts w:asciiTheme="majorHAnsi" w:eastAsiaTheme="majorEastAsia" w:hAnsiTheme="majorHAnsi" w:cstheme="majorHAnsi"/>
      <w:b/>
      <w:bCs/>
      <w:sz w:val="24"/>
      <w:szCs w:val="24"/>
      <w:lang w:val="en-GB"/>
    </w:rPr>
  </w:style>
  <w:style w:type="paragraph" w:styleId="PlainText">
    <w:name w:val="Plain Text"/>
    <w:basedOn w:val="Normal"/>
    <w:link w:val="PlainTextChar"/>
    <w:uiPriority w:val="99"/>
    <w:unhideWhenUsed/>
    <w:rsid w:val="00A864BC"/>
    <w:rPr>
      <w:rFonts w:ascii="Consolas" w:eastAsia="SimSun" w:hAnsi="Consolas" w:cstheme="minorBidi"/>
      <w:sz w:val="21"/>
      <w:szCs w:val="21"/>
    </w:rPr>
  </w:style>
  <w:style w:type="character" w:customStyle="1" w:styleId="PlainTextChar">
    <w:name w:val="Plain Text Char"/>
    <w:basedOn w:val="DefaultParagraphFont"/>
    <w:link w:val="PlainText"/>
    <w:uiPriority w:val="99"/>
    <w:rsid w:val="00A864BC"/>
    <w:rPr>
      <w:rFonts w:ascii="Consolas" w:eastAsia="SimSun" w:hAnsi="Consolas"/>
      <w:sz w:val="21"/>
      <w:szCs w:val="21"/>
      <w:lang w:val="en-GB"/>
    </w:rPr>
  </w:style>
  <w:style w:type="character" w:customStyle="1" w:styleId="Heading8Char">
    <w:name w:val="Heading 8 Char"/>
    <w:basedOn w:val="DefaultParagraphFont"/>
    <w:link w:val="Heading8"/>
    <w:semiHidden/>
    <w:rsid w:val="00106D82"/>
    <w:rPr>
      <w:rFonts w:asciiTheme="majorHAnsi" w:eastAsiaTheme="majorEastAsia" w:hAnsiTheme="majorHAnsi" w:cstheme="majorBidi"/>
      <w:color w:val="878787" w:themeColor="text1" w:themeTint="BF"/>
      <w:sz w:val="20"/>
      <w:szCs w:val="20"/>
      <w:lang w:val="en-GB"/>
    </w:rPr>
  </w:style>
  <w:style w:type="character" w:customStyle="1" w:styleId="Heading9Char">
    <w:name w:val="Heading 9 Char"/>
    <w:basedOn w:val="DefaultParagraphFont"/>
    <w:link w:val="Heading9"/>
    <w:semiHidden/>
    <w:rsid w:val="00106D82"/>
    <w:rPr>
      <w:rFonts w:asciiTheme="majorHAnsi" w:eastAsiaTheme="majorEastAsia" w:hAnsiTheme="majorHAnsi" w:cstheme="majorBidi"/>
      <w:i/>
      <w:iCs/>
      <w:color w:val="878787" w:themeColor="text1" w:themeTint="BF"/>
      <w:sz w:val="20"/>
      <w:szCs w:val="20"/>
      <w:lang w:val="en-GB"/>
    </w:rPr>
  </w:style>
  <w:style w:type="paragraph" w:customStyle="1" w:styleId="Default">
    <w:name w:val="Default"/>
    <w:rsid w:val="005C3FCB"/>
    <w:pPr>
      <w:autoSpaceDE w:val="0"/>
      <w:autoSpaceDN w:val="0"/>
      <w:adjustRightInd w:val="0"/>
      <w:spacing w:after="0" w:line="240" w:lineRule="auto"/>
    </w:pPr>
    <w:rPr>
      <w:rFonts w:ascii="Arial" w:hAnsi="Arial" w:cs="Arial"/>
      <w:color w:val="000000"/>
      <w:sz w:val="24"/>
      <w:szCs w:val="24"/>
      <w:lang w:val="en-GB"/>
    </w:rPr>
  </w:style>
  <w:style w:type="character" w:customStyle="1" w:styleId="FootnoteTextChar">
    <w:name w:val="Footnote Text Char"/>
    <w:basedOn w:val="DefaultParagraphFont"/>
    <w:link w:val="FootnoteText"/>
    <w:uiPriority w:val="99"/>
    <w:semiHidden/>
    <w:rsid w:val="0087128E"/>
    <w:rPr>
      <w:rFonts w:ascii="Times New Roman" w:eastAsiaTheme="minorEastAsia" w:hAnsi="Times New Roman" w:cs="Times New Roman"/>
      <w:sz w:val="18"/>
      <w:szCs w:val="20"/>
      <w:lang w:val="en-GB"/>
    </w:rPr>
  </w:style>
  <w:style w:type="character" w:customStyle="1" w:styleId="Heading1Char">
    <w:name w:val="Heading 1 Char"/>
    <w:basedOn w:val="DefaultParagraphFont"/>
    <w:link w:val="Heading1"/>
    <w:rsid w:val="00175037"/>
    <w:rPr>
      <w:rFonts w:asciiTheme="majorHAnsi" w:eastAsiaTheme="majorEastAsia" w:hAnsiTheme="majorHAnsi" w:cstheme="majorHAnsi"/>
      <w:b/>
      <w:bCs/>
      <w:sz w:val="24"/>
      <w:szCs w:val="24"/>
      <w:lang w:val="en-GB"/>
    </w:rPr>
  </w:style>
  <w:style w:type="character" w:customStyle="1" w:styleId="Heading3Char">
    <w:name w:val="Heading 3 Char"/>
    <w:basedOn w:val="DefaultParagraphFont"/>
    <w:link w:val="Heading3"/>
    <w:uiPriority w:val="9"/>
    <w:rsid w:val="00175037"/>
    <w:rPr>
      <w:rFonts w:ascii="Times New Roman" w:eastAsiaTheme="minorEastAsia" w:hAnsi="Times New Roman" w:cs="Times New Roman"/>
      <w:sz w:val="24"/>
      <w:szCs w:val="24"/>
      <w:lang w:val="en-GB"/>
    </w:rPr>
  </w:style>
  <w:style w:type="character" w:customStyle="1" w:styleId="Heading4Char">
    <w:name w:val="Heading 4 Char"/>
    <w:basedOn w:val="DefaultParagraphFont"/>
    <w:link w:val="Heading4"/>
    <w:rsid w:val="00175037"/>
    <w:rPr>
      <w:rFonts w:ascii="Times New Roman" w:eastAsiaTheme="minorEastAsia" w:hAnsi="Times New Roman" w:cs="Times New Roman"/>
      <w:sz w:val="24"/>
      <w:szCs w:val="24"/>
      <w:lang w:val="en-GB"/>
    </w:rPr>
  </w:style>
  <w:style w:type="character" w:customStyle="1" w:styleId="Heading5Char">
    <w:name w:val="Heading 5 Char"/>
    <w:basedOn w:val="DefaultParagraphFont"/>
    <w:link w:val="Heading5"/>
    <w:rsid w:val="00175037"/>
    <w:rPr>
      <w:rFonts w:ascii="Times New Roman" w:eastAsiaTheme="minorEastAsia" w:hAnsi="Times New Roman" w:cs="Times New Roman"/>
      <w:sz w:val="24"/>
      <w:szCs w:val="24"/>
      <w:lang w:val="en-GB"/>
    </w:rPr>
  </w:style>
  <w:style w:type="character" w:customStyle="1" w:styleId="Heading6Char">
    <w:name w:val="Heading 6 Char"/>
    <w:basedOn w:val="DefaultParagraphFont"/>
    <w:link w:val="Heading6"/>
    <w:rsid w:val="00175037"/>
    <w:rPr>
      <w:rFonts w:ascii="Times New Roman" w:eastAsiaTheme="minorEastAsia" w:hAnsi="Times New Roman" w:cs="Times New Roman"/>
      <w:sz w:val="24"/>
      <w:szCs w:val="24"/>
      <w:lang w:val="en-GB"/>
    </w:rPr>
  </w:style>
  <w:style w:type="character" w:customStyle="1" w:styleId="BodyTextChar">
    <w:name w:val="Body Text Char"/>
    <w:basedOn w:val="DefaultParagraphFont"/>
    <w:link w:val="BodyText"/>
    <w:uiPriority w:val="99"/>
    <w:rsid w:val="00175037"/>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6465">
      <w:bodyDiv w:val="1"/>
      <w:marLeft w:val="0"/>
      <w:marRight w:val="0"/>
      <w:marTop w:val="0"/>
      <w:marBottom w:val="0"/>
      <w:divBdr>
        <w:top w:val="none" w:sz="0" w:space="0" w:color="auto"/>
        <w:left w:val="none" w:sz="0" w:space="0" w:color="auto"/>
        <w:bottom w:val="none" w:sz="0" w:space="0" w:color="auto"/>
        <w:right w:val="none" w:sz="0" w:space="0" w:color="auto"/>
      </w:divBdr>
    </w:div>
    <w:div w:id="158931754">
      <w:bodyDiv w:val="1"/>
      <w:marLeft w:val="0"/>
      <w:marRight w:val="0"/>
      <w:marTop w:val="0"/>
      <w:marBottom w:val="0"/>
      <w:divBdr>
        <w:top w:val="none" w:sz="0" w:space="0" w:color="auto"/>
        <w:left w:val="none" w:sz="0" w:space="0" w:color="auto"/>
        <w:bottom w:val="none" w:sz="0" w:space="0" w:color="auto"/>
        <w:right w:val="none" w:sz="0" w:space="0" w:color="auto"/>
      </w:divBdr>
    </w:div>
    <w:div w:id="212666996">
      <w:bodyDiv w:val="1"/>
      <w:marLeft w:val="0"/>
      <w:marRight w:val="0"/>
      <w:marTop w:val="0"/>
      <w:marBottom w:val="0"/>
      <w:divBdr>
        <w:top w:val="none" w:sz="0" w:space="0" w:color="auto"/>
        <w:left w:val="none" w:sz="0" w:space="0" w:color="auto"/>
        <w:bottom w:val="none" w:sz="0" w:space="0" w:color="auto"/>
        <w:right w:val="none" w:sz="0" w:space="0" w:color="auto"/>
      </w:divBdr>
    </w:div>
    <w:div w:id="373971220">
      <w:bodyDiv w:val="1"/>
      <w:marLeft w:val="0"/>
      <w:marRight w:val="0"/>
      <w:marTop w:val="0"/>
      <w:marBottom w:val="0"/>
      <w:divBdr>
        <w:top w:val="none" w:sz="0" w:space="0" w:color="auto"/>
        <w:left w:val="none" w:sz="0" w:space="0" w:color="auto"/>
        <w:bottom w:val="none" w:sz="0" w:space="0" w:color="auto"/>
        <w:right w:val="none" w:sz="0" w:space="0" w:color="auto"/>
      </w:divBdr>
    </w:div>
    <w:div w:id="490558059">
      <w:bodyDiv w:val="1"/>
      <w:marLeft w:val="0"/>
      <w:marRight w:val="0"/>
      <w:marTop w:val="0"/>
      <w:marBottom w:val="0"/>
      <w:divBdr>
        <w:top w:val="none" w:sz="0" w:space="0" w:color="auto"/>
        <w:left w:val="none" w:sz="0" w:space="0" w:color="auto"/>
        <w:bottom w:val="none" w:sz="0" w:space="0" w:color="auto"/>
        <w:right w:val="none" w:sz="0" w:space="0" w:color="auto"/>
      </w:divBdr>
    </w:div>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701633977">
      <w:bodyDiv w:val="1"/>
      <w:marLeft w:val="0"/>
      <w:marRight w:val="0"/>
      <w:marTop w:val="0"/>
      <w:marBottom w:val="0"/>
      <w:divBdr>
        <w:top w:val="none" w:sz="0" w:space="0" w:color="auto"/>
        <w:left w:val="none" w:sz="0" w:space="0" w:color="auto"/>
        <w:bottom w:val="none" w:sz="0" w:space="0" w:color="auto"/>
        <w:right w:val="none" w:sz="0" w:space="0" w:color="auto"/>
      </w:divBdr>
    </w:div>
    <w:div w:id="703676908">
      <w:bodyDiv w:val="1"/>
      <w:marLeft w:val="0"/>
      <w:marRight w:val="0"/>
      <w:marTop w:val="0"/>
      <w:marBottom w:val="0"/>
      <w:divBdr>
        <w:top w:val="none" w:sz="0" w:space="0" w:color="auto"/>
        <w:left w:val="none" w:sz="0" w:space="0" w:color="auto"/>
        <w:bottom w:val="none" w:sz="0" w:space="0" w:color="auto"/>
        <w:right w:val="none" w:sz="0" w:space="0" w:color="auto"/>
      </w:divBdr>
    </w:div>
    <w:div w:id="777018453">
      <w:bodyDiv w:val="1"/>
      <w:marLeft w:val="0"/>
      <w:marRight w:val="0"/>
      <w:marTop w:val="0"/>
      <w:marBottom w:val="0"/>
      <w:divBdr>
        <w:top w:val="none" w:sz="0" w:space="0" w:color="auto"/>
        <w:left w:val="none" w:sz="0" w:space="0" w:color="auto"/>
        <w:bottom w:val="none" w:sz="0" w:space="0" w:color="auto"/>
        <w:right w:val="none" w:sz="0" w:space="0" w:color="auto"/>
      </w:divBdr>
    </w:div>
    <w:div w:id="19057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Correspondence\Blank.dotm" TargetMode="External"/></Relationships>
</file>

<file path=word/theme/theme1.xml><?xml version="1.0" encoding="utf-8"?>
<a:theme xmlns:a="http://schemas.openxmlformats.org/drawingml/2006/main" name="B&amp;M">
  <a:themeElements>
    <a:clrScheme name="Local copy of B&amp;M">
      <a:dk1>
        <a:srgbClr val="5F5F5F"/>
      </a:dk1>
      <a:lt1>
        <a:srgbClr val="FFFFFF"/>
      </a:lt1>
      <a:dk2>
        <a:srgbClr val="000000"/>
      </a:dk2>
      <a:lt2>
        <a:srgbClr val="FFFFFF"/>
      </a:lt2>
      <a:accent1>
        <a:srgbClr val="A71930"/>
      </a:accent1>
      <a:accent2>
        <a:srgbClr val="EBB700"/>
      </a:accent2>
      <a:accent3>
        <a:srgbClr val="6773B6"/>
      </a:accent3>
      <a:accent4>
        <a:srgbClr val="A3AD00"/>
      </a:accent4>
      <a:accent5>
        <a:srgbClr val="5F5F5F"/>
      </a:accent5>
      <a:accent6>
        <a:srgbClr val="000000"/>
      </a:accent6>
      <a:hlink>
        <a:srgbClr val="A2AD00"/>
      </a:hlink>
      <a:folHlink>
        <a:srgbClr val="A2AD0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r o o t   x m l n s = " h t t p : / / s c h e m a s . m a c r o v i e w . c o m . a u / b m o f f i c e / b l a n k " >  
 < / r o o t > 
</file>

<file path=customXml/item2.xml><?xml version="1.0" encoding="utf-8"?>
<cdm:cachedDataManifest xmlns:cdm="http://schemas.microsoft.com/2004/VisualStudio/Tools/Applications/CachedDataManifest.xsd" cdm:revision="1"/>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2.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153D9CE2-66C6-4709-8EE9-E399599D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11</Pages>
  <Words>5074</Words>
  <Characters>28049</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Blank</vt:lpstr>
    </vt:vector>
  </TitlesOfParts>
  <Company>Baker &amp; McKenzie</Company>
  <LinksUpToDate>false</LinksUpToDate>
  <CharactersWithSpaces>33057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Baker &amp; McKenzie</dc:creator>
  <cp:lastModifiedBy>Nguyen </cp:lastModifiedBy>
  <cp:revision>3</cp:revision>
  <cp:lastPrinted>2017-12-19T06:59:00Z</cp:lastPrinted>
  <dcterms:created xsi:type="dcterms:W3CDTF">2017-12-19T06:58:00Z</dcterms:created>
  <dcterms:modified xsi:type="dcterms:W3CDTF">2017-12-19T06:59:00Z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ies>
</file>