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DF" w:rsidRPr="00905FCE" w:rsidRDefault="00A83188" w:rsidP="003D094E">
      <w:pPr>
        <w:pStyle w:val="AODocTxt"/>
        <w:jc w:val="center"/>
        <w:rPr>
          <w:b/>
          <w:sz w:val="26"/>
          <w:szCs w:val="26"/>
        </w:rPr>
      </w:pPr>
      <w:r w:rsidRPr="00A83188">
        <w:rPr>
          <w:b/>
          <w:sz w:val="26"/>
          <w:szCs w:val="26"/>
          <w:u w:val="single"/>
        </w:rPr>
        <w:t>ANNEX 1</w:t>
      </w:r>
      <w:r>
        <w:rPr>
          <w:b/>
          <w:sz w:val="26"/>
          <w:szCs w:val="26"/>
        </w:rPr>
        <w:t xml:space="preserve">: </w:t>
      </w:r>
      <w:r w:rsidR="00956D5B" w:rsidRPr="00905FCE">
        <w:rPr>
          <w:b/>
          <w:sz w:val="26"/>
          <w:szCs w:val="26"/>
        </w:rPr>
        <w:t xml:space="preserve">LEGAL ANALYSIS FOR </w:t>
      </w:r>
      <w:r w:rsidR="00FD0FDF" w:rsidRPr="00905FCE">
        <w:rPr>
          <w:b/>
          <w:sz w:val="26"/>
          <w:szCs w:val="26"/>
        </w:rPr>
        <w:t>CASH</w:t>
      </w:r>
      <w:r w:rsidR="003D094E" w:rsidRPr="00905FCE">
        <w:rPr>
          <w:b/>
          <w:sz w:val="26"/>
          <w:szCs w:val="26"/>
        </w:rPr>
        <w:t xml:space="preserve"> </w:t>
      </w:r>
      <w:r w:rsidR="00956D5B" w:rsidRPr="00905FCE">
        <w:rPr>
          <w:b/>
          <w:sz w:val="26"/>
          <w:szCs w:val="26"/>
        </w:rPr>
        <w:t>POOLING</w:t>
      </w:r>
    </w:p>
    <w:p w:rsidR="00753260" w:rsidRPr="00200231" w:rsidRDefault="00753260" w:rsidP="00BB289A">
      <w:pPr>
        <w:pStyle w:val="AOHead1"/>
        <w:tabs>
          <w:tab w:val="clear" w:pos="720"/>
        </w:tabs>
        <w:ind w:left="360" w:hanging="360"/>
        <w:rPr>
          <w:sz w:val="24"/>
          <w:szCs w:val="24"/>
        </w:rPr>
      </w:pPr>
      <w:r w:rsidRPr="00200231">
        <w:rPr>
          <w:sz w:val="24"/>
          <w:szCs w:val="24"/>
        </w:rPr>
        <w:t>background</w:t>
      </w:r>
    </w:p>
    <w:p w:rsidR="00004D1D" w:rsidRPr="00200231" w:rsidRDefault="00004D1D" w:rsidP="001E79DF">
      <w:pPr>
        <w:pStyle w:val="AODocTxt"/>
        <w:rPr>
          <w:sz w:val="24"/>
          <w:szCs w:val="24"/>
        </w:rPr>
      </w:pPr>
      <w:r w:rsidRPr="00200231">
        <w:rPr>
          <w:sz w:val="24"/>
          <w:szCs w:val="24"/>
        </w:rPr>
        <w:t xml:space="preserve">Cash pooling </w:t>
      </w:r>
      <w:r w:rsidR="00FD0FDF" w:rsidRPr="00200231">
        <w:rPr>
          <w:sz w:val="24"/>
          <w:szCs w:val="24"/>
        </w:rPr>
        <w:t xml:space="preserve">is a banking </w:t>
      </w:r>
      <w:r w:rsidR="00220F07" w:rsidRPr="00200231">
        <w:rPr>
          <w:sz w:val="24"/>
          <w:szCs w:val="24"/>
        </w:rPr>
        <w:t>structure</w:t>
      </w:r>
      <w:r w:rsidR="00FD0FDF" w:rsidRPr="00200231">
        <w:rPr>
          <w:sz w:val="24"/>
          <w:szCs w:val="24"/>
        </w:rPr>
        <w:t xml:space="preserve"> in which the balanc</w:t>
      </w:r>
      <w:r w:rsidR="00220F07" w:rsidRPr="00200231">
        <w:rPr>
          <w:sz w:val="24"/>
          <w:szCs w:val="24"/>
        </w:rPr>
        <w:t>es of accounts of different entities within a group</w:t>
      </w:r>
      <w:r w:rsidR="00FD0FDF" w:rsidRPr="00200231">
        <w:rPr>
          <w:sz w:val="24"/>
          <w:szCs w:val="24"/>
        </w:rPr>
        <w:t xml:space="preserve"> </w:t>
      </w:r>
      <w:r w:rsidR="00220F07" w:rsidRPr="00200231">
        <w:rPr>
          <w:sz w:val="24"/>
          <w:szCs w:val="24"/>
        </w:rPr>
        <w:t>will</w:t>
      </w:r>
      <w:r w:rsidR="00FD0FDF" w:rsidRPr="00200231">
        <w:rPr>
          <w:sz w:val="24"/>
          <w:szCs w:val="24"/>
        </w:rPr>
        <w:t xml:space="preserve"> be collected or “concentrated”</w:t>
      </w:r>
      <w:r w:rsidR="00220F07" w:rsidRPr="00200231">
        <w:rPr>
          <w:sz w:val="24"/>
          <w:szCs w:val="24"/>
        </w:rPr>
        <w:t xml:space="preserve"> at one designated account, namely, the</w:t>
      </w:r>
      <w:r w:rsidR="00D15D80" w:rsidRPr="00200231">
        <w:rPr>
          <w:sz w:val="24"/>
          <w:szCs w:val="24"/>
        </w:rPr>
        <w:t xml:space="preserve"> header account. </w:t>
      </w:r>
      <w:r w:rsidR="00220F07" w:rsidRPr="00200231">
        <w:rPr>
          <w:sz w:val="24"/>
          <w:szCs w:val="24"/>
        </w:rPr>
        <w:t xml:space="preserve">The balance of the header account may be used to offset cash deficits with cash surpluses between entities </w:t>
      </w:r>
      <w:r w:rsidR="00E768B3" w:rsidRPr="00200231">
        <w:rPr>
          <w:sz w:val="24"/>
          <w:szCs w:val="24"/>
        </w:rPr>
        <w:t>participated in the pool</w:t>
      </w:r>
      <w:r w:rsidR="00F676B5">
        <w:rPr>
          <w:rStyle w:val="FootnoteReference"/>
          <w:sz w:val="24"/>
          <w:szCs w:val="24"/>
        </w:rPr>
        <w:footnoteReference w:id="1"/>
      </w:r>
      <w:r w:rsidR="00E768B3" w:rsidRPr="00200231">
        <w:rPr>
          <w:sz w:val="24"/>
          <w:szCs w:val="24"/>
        </w:rPr>
        <w:t>, facilitate the investment activities</w:t>
      </w:r>
      <w:r w:rsidR="00220F07" w:rsidRPr="00200231">
        <w:rPr>
          <w:sz w:val="24"/>
          <w:szCs w:val="24"/>
        </w:rPr>
        <w:t xml:space="preserve"> of the group </w:t>
      </w:r>
      <w:r w:rsidR="00E768B3" w:rsidRPr="00200231">
        <w:rPr>
          <w:sz w:val="24"/>
          <w:szCs w:val="24"/>
        </w:rPr>
        <w:t xml:space="preserve">as well as reduce the interest expenses </w:t>
      </w:r>
      <w:r w:rsidR="00200231">
        <w:rPr>
          <w:sz w:val="24"/>
          <w:szCs w:val="24"/>
        </w:rPr>
        <w:t>existing in</w:t>
      </w:r>
      <w:r w:rsidR="00E768B3" w:rsidRPr="00200231">
        <w:rPr>
          <w:sz w:val="24"/>
          <w:szCs w:val="24"/>
        </w:rPr>
        <w:t xml:space="preserve"> the system of multiple accounts. The main benefit of cash pooling structure is to optimise the </w:t>
      </w:r>
      <w:r w:rsidR="00864B73" w:rsidRPr="00200231">
        <w:rPr>
          <w:sz w:val="24"/>
          <w:szCs w:val="24"/>
        </w:rPr>
        <w:t xml:space="preserve">finance </w:t>
      </w:r>
      <w:r w:rsidR="00200231">
        <w:rPr>
          <w:sz w:val="24"/>
          <w:szCs w:val="24"/>
        </w:rPr>
        <w:t xml:space="preserve">of </w:t>
      </w:r>
      <w:r w:rsidR="00864B73" w:rsidRPr="00200231">
        <w:rPr>
          <w:sz w:val="24"/>
          <w:szCs w:val="24"/>
        </w:rPr>
        <w:t>the group as a whole.</w:t>
      </w:r>
    </w:p>
    <w:p w:rsidR="00D15D80" w:rsidRPr="00200231" w:rsidRDefault="00864B73" w:rsidP="001E79DF">
      <w:pPr>
        <w:pStyle w:val="AODocTxt"/>
        <w:rPr>
          <w:sz w:val="24"/>
          <w:szCs w:val="24"/>
        </w:rPr>
      </w:pPr>
      <w:r w:rsidRPr="00200231">
        <w:rPr>
          <w:sz w:val="24"/>
          <w:szCs w:val="24"/>
        </w:rPr>
        <w:t>C</w:t>
      </w:r>
      <w:r w:rsidR="00220F07" w:rsidRPr="00200231">
        <w:rPr>
          <w:sz w:val="24"/>
          <w:szCs w:val="24"/>
        </w:rPr>
        <w:t>ash pooling has been accepted in several countries</w:t>
      </w:r>
      <w:r w:rsidRPr="00200231">
        <w:rPr>
          <w:sz w:val="24"/>
          <w:szCs w:val="24"/>
        </w:rPr>
        <w:t xml:space="preserve"> such as Singapore, Hong Kong, </w:t>
      </w:r>
      <w:r w:rsidR="00C7127B" w:rsidRPr="00200231">
        <w:rPr>
          <w:sz w:val="24"/>
          <w:szCs w:val="24"/>
        </w:rPr>
        <w:t>Australia</w:t>
      </w:r>
      <w:r w:rsidRPr="00200231">
        <w:rPr>
          <w:sz w:val="24"/>
          <w:szCs w:val="24"/>
        </w:rPr>
        <w:t xml:space="preserve"> </w:t>
      </w:r>
      <w:r w:rsidR="00220F07" w:rsidRPr="00200231">
        <w:rPr>
          <w:sz w:val="24"/>
          <w:szCs w:val="24"/>
        </w:rPr>
        <w:t>Indonesia</w:t>
      </w:r>
      <w:r w:rsidRPr="00200231">
        <w:rPr>
          <w:sz w:val="24"/>
          <w:szCs w:val="24"/>
        </w:rPr>
        <w:t xml:space="preserve"> or Malaysia</w:t>
      </w:r>
      <w:r w:rsidR="00C7127B" w:rsidRPr="00200231">
        <w:rPr>
          <w:sz w:val="24"/>
          <w:szCs w:val="24"/>
        </w:rPr>
        <w:t xml:space="preserve">. The pooling control between countries may be different </w:t>
      </w:r>
      <w:r w:rsidR="008E3853" w:rsidRPr="00200231">
        <w:rPr>
          <w:sz w:val="24"/>
          <w:szCs w:val="24"/>
        </w:rPr>
        <w:t xml:space="preserve">due to their foreign exchange regulation but in general, the domestic notional and physical cash pooling is allowed. </w:t>
      </w:r>
      <w:r w:rsidRPr="00200231">
        <w:rPr>
          <w:sz w:val="24"/>
          <w:szCs w:val="24"/>
        </w:rPr>
        <w:t xml:space="preserve"> </w:t>
      </w:r>
      <w:r w:rsidR="008E3853" w:rsidRPr="00200231">
        <w:rPr>
          <w:sz w:val="24"/>
          <w:szCs w:val="24"/>
        </w:rPr>
        <w:t>C</w:t>
      </w:r>
      <w:r w:rsidR="00A80854" w:rsidRPr="00200231">
        <w:rPr>
          <w:sz w:val="24"/>
          <w:szCs w:val="24"/>
        </w:rPr>
        <w:t>urrently,</w:t>
      </w:r>
      <w:r w:rsidR="008E3853" w:rsidRPr="00200231">
        <w:rPr>
          <w:sz w:val="24"/>
          <w:szCs w:val="24"/>
        </w:rPr>
        <w:t xml:space="preserve"> </w:t>
      </w:r>
      <w:r w:rsidR="0064465A" w:rsidRPr="00200231">
        <w:rPr>
          <w:sz w:val="24"/>
          <w:szCs w:val="24"/>
        </w:rPr>
        <w:t xml:space="preserve">there </w:t>
      </w:r>
      <w:r w:rsidR="00A80854" w:rsidRPr="00200231">
        <w:rPr>
          <w:sz w:val="24"/>
          <w:szCs w:val="24"/>
        </w:rPr>
        <w:t xml:space="preserve">is not any clear legal </w:t>
      </w:r>
      <w:r w:rsidR="00200231">
        <w:rPr>
          <w:sz w:val="24"/>
          <w:szCs w:val="24"/>
        </w:rPr>
        <w:t>basis with respect to cash pooling structure which prevents</w:t>
      </w:r>
      <w:r w:rsidR="0064465A" w:rsidRPr="00200231">
        <w:rPr>
          <w:sz w:val="24"/>
          <w:szCs w:val="24"/>
        </w:rPr>
        <w:t xml:space="preserve"> credit institutions to provide </w:t>
      </w:r>
      <w:r w:rsidR="00200231">
        <w:rPr>
          <w:sz w:val="24"/>
          <w:szCs w:val="24"/>
        </w:rPr>
        <w:t>such</w:t>
      </w:r>
      <w:r w:rsidR="0064465A" w:rsidRPr="00200231">
        <w:rPr>
          <w:sz w:val="24"/>
          <w:szCs w:val="24"/>
        </w:rPr>
        <w:t xml:space="preserve"> product </w:t>
      </w:r>
      <w:r w:rsidR="00A80854" w:rsidRPr="00200231">
        <w:rPr>
          <w:sz w:val="24"/>
          <w:szCs w:val="24"/>
        </w:rPr>
        <w:t>in Vietnam. The following section will explore the</w:t>
      </w:r>
      <w:r w:rsidR="0028067B" w:rsidRPr="00200231">
        <w:rPr>
          <w:sz w:val="24"/>
          <w:szCs w:val="24"/>
        </w:rPr>
        <w:t xml:space="preserve"> current relevant regulation to prove that such structure</w:t>
      </w:r>
      <w:r w:rsidR="00200231">
        <w:rPr>
          <w:sz w:val="24"/>
          <w:szCs w:val="24"/>
        </w:rPr>
        <w:t xml:space="preserve"> is not prohibited under the law of Vietnam</w:t>
      </w:r>
      <w:r w:rsidR="0028067B" w:rsidRPr="00200231">
        <w:rPr>
          <w:sz w:val="24"/>
          <w:szCs w:val="24"/>
        </w:rPr>
        <w:t xml:space="preserve"> and the </w:t>
      </w:r>
      <w:r w:rsidR="006541E1">
        <w:rPr>
          <w:sz w:val="24"/>
          <w:szCs w:val="24"/>
        </w:rPr>
        <w:t>SBV</w:t>
      </w:r>
      <w:r w:rsidR="009D0A28">
        <w:rPr>
          <w:sz w:val="24"/>
          <w:szCs w:val="24"/>
        </w:rPr>
        <w:t xml:space="preserve"> </w:t>
      </w:r>
      <w:r w:rsidR="0028067B" w:rsidRPr="00200231">
        <w:rPr>
          <w:sz w:val="24"/>
          <w:szCs w:val="24"/>
        </w:rPr>
        <w:t>may consider</w:t>
      </w:r>
      <w:r w:rsidR="000C5E16">
        <w:rPr>
          <w:sz w:val="24"/>
          <w:szCs w:val="24"/>
        </w:rPr>
        <w:t xml:space="preserve"> approving </w:t>
      </w:r>
      <w:r w:rsidR="00200231">
        <w:rPr>
          <w:sz w:val="24"/>
          <w:szCs w:val="24"/>
        </w:rPr>
        <w:t>and</w:t>
      </w:r>
      <w:r w:rsidR="0028067B" w:rsidRPr="00200231">
        <w:rPr>
          <w:sz w:val="24"/>
          <w:szCs w:val="24"/>
        </w:rPr>
        <w:t xml:space="preserve"> </w:t>
      </w:r>
      <w:r w:rsidR="003D734A" w:rsidRPr="00200231">
        <w:rPr>
          <w:sz w:val="24"/>
          <w:szCs w:val="24"/>
        </w:rPr>
        <w:t>issuing an official guidance</w:t>
      </w:r>
      <w:r w:rsidR="000C5E16">
        <w:rPr>
          <w:sz w:val="24"/>
          <w:szCs w:val="24"/>
        </w:rPr>
        <w:t xml:space="preserve"> on the</w:t>
      </w:r>
      <w:r w:rsidR="000C5E16" w:rsidRPr="00200231">
        <w:rPr>
          <w:sz w:val="24"/>
          <w:szCs w:val="24"/>
        </w:rPr>
        <w:t xml:space="preserve"> provision of</w:t>
      </w:r>
      <w:r w:rsidR="000C5E16">
        <w:rPr>
          <w:sz w:val="24"/>
          <w:szCs w:val="24"/>
        </w:rPr>
        <w:t xml:space="preserve"> the</w:t>
      </w:r>
      <w:r w:rsidR="000C5E16" w:rsidRPr="00200231">
        <w:rPr>
          <w:sz w:val="24"/>
          <w:szCs w:val="24"/>
        </w:rPr>
        <w:t xml:space="preserve"> c</w:t>
      </w:r>
      <w:r w:rsidR="000C5E16">
        <w:rPr>
          <w:sz w:val="24"/>
          <w:szCs w:val="24"/>
        </w:rPr>
        <w:t>ash pooling products by credit institutions</w:t>
      </w:r>
      <w:r w:rsidR="005F7D5A">
        <w:rPr>
          <w:sz w:val="24"/>
          <w:szCs w:val="24"/>
        </w:rPr>
        <w:t xml:space="preserve"> either as an independent banking product or</w:t>
      </w:r>
      <w:r w:rsidR="000C5E16">
        <w:rPr>
          <w:sz w:val="24"/>
          <w:szCs w:val="24"/>
        </w:rPr>
        <w:t xml:space="preserve"> through entrustment lending services</w:t>
      </w:r>
      <w:r w:rsidR="00200231">
        <w:rPr>
          <w:sz w:val="24"/>
          <w:szCs w:val="24"/>
        </w:rPr>
        <w:t>.</w:t>
      </w:r>
    </w:p>
    <w:p w:rsidR="00E768B3" w:rsidRPr="00200231" w:rsidRDefault="00C7127B" w:rsidP="00BB289A">
      <w:pPr>
        <w:pStyle w:val="AOHead1"/>
        <w:tabs>
          <w:tab w:val="clear" w:pos="720"/>
        </w:tabs>
        <w:ind w:left="360" w:hanging="360"/>
        <w:rPr>
          <w:sz w:val="24"/>
          <w:szCs w:val="24"/>
        </w:rPr>
      </w:pPr>
      <w:r w:rsidRPr="00200231">
        <w:rPr>
          <w:sz w:val="24"/>
          <w:szCs w:val="24"/>
        </w:rPr>
        <w:t>relevant</w:t>
      </w:r>
      <w:r w:rsidR="00220F07" w:rsidRPr="00200231">
        <w:rPr>
          <w:sz w:val="24"/>
          <w:szCs w:val="24"/>
        </w:rPr>
        <w:t xml:space="preserve"> regulation</w:t>
      </w:r>
      <w:r w:rsidRPr="00200231">
        <w:rPr>
          <w:sz w:val="24"/>
          <w:szCs w:val="24"/>
        </w:rPr>
        <w:t xml:space="preserve"> under vietnamese law</w:t>
      </w:r>
    </w:p>
    <w:p w:rsidR="00751806" w:rsidRPr="00BB289A" w:rsidRDefault="00751806" w:rsidP="00BB289A">
      <w:pPr>
        <w:pStyle w:val="AOHead2"/>
        <w:tabs>
          <w:tab w:val="clear" w:pos="720"/>
        </w:tabs>
        <w:ind w:left="360" w:hanging="360"/>
        <w:rPr>
          <w:i/>
          <w:sz w:val="24"/>
          <w:szCs w:val="24"/>
        </w:rPr>
      </w:pPr>
      <w:r w:rsidRPr="00BB289A">
        <w:rPr>
          <w:i/>
          <w:sz w:val="24"/>
          <w:szCs w:val="24"/>
        </w:rPr>
        <w:t>Banking activities under Credit Institution Law 2010</w:t>
      </w:r>
    </w:p>
    <w:p w:rsidR="003D734A" w:rsidRPr="00200231" w:rsidRDefault="003D734A" w:rsidP="007019B8">
      <w:pPr>
        <w:pStyle w:val="AODocTxtL1"/>
        <w:ind w:left="0"/>
        <w:rPr>
          <w:sz w:val="24"/>
          <w:szCs w:val="24"/>
        </w:rPr>
      </w:pPr>
      <w:r w:rsidRPr="00200231">
        <w:rPr>
          <w:sz w:val="24"/>
          <w:szCs w:val="24"/>
        </w:rPr>
        <w:t>Under Article 8.2 of Law no. 47/2010/QH12 on Credit Institution passed by the National Assembly of Vietnam</w:t>
      </w:r>
      <w:r w:rsidR="00173A3C" w:rsidRPr="00200231">
        <w:rPr>
          <w:sz w:val="24"/>
          <w:szCs w:val="24"/>
        </w:rPr>
        <w:t xml:space="preserve"> on 16 June 2010</w:t>
      </w:r>
      <w:r w:rsidR="00751806" w:rsidRPr="00200231">
        <w:rPr>
          <w:sz w:val="24"/>
          <w:szCs w:val="24"/>
        </w:rPr>
        <w:t xml:space="preserve"> (</w:t>
      </w:r>
      <w:r w:rsidR="00751806" w:rsidRPr="00200231">
        <w:rPr>
          <w:b/>
          <w:sz w:val="24"/>
          <w:szCs w:val="24"/>
        </w:rPr>
        <w:t>Credit Institution Law 2010</w:t>
      </w:r>
      <w:r w:rsidR="00751806" w:rsidRPr="00200231">
        <w:rPr>
          <w:sz w:val="24"/>
          <w:szCs w:val="24"/>
        </w:rPr>
        <w:t>)</w:t>
      </w:r>
      <w:r w:rsidR="00173A3C" w:rsidRPr="00200231">
        <w:rPr>
          <w:sz w:val="24"/>
          <w:szCs w:val="24"/>
        </w:rPr>
        <w:t>, an</w:t>
      </w:r>
      <w:r w:rsidR="00F848A5">
        <w:rPr>
          <w:sz w:val="24"/>
          <w:szCs w:val="24"/>
        </w:rPr>
        <w:t>y</w:t>
      </w:r>
      <w:r w:rsidR="00173A3C" w:rsidRPr="00200231">
        <w:rPr>
          <w:sz w:val="24"/>
          <w:szCs w:val="24"/>
        </w:rPr>
        <w:t xml:space="preserve"> entity other than a </w:t>
      </w:r>
      <w:r w:rsidRPr="00200231">
        <w:rPr>
          <w:sz w:val="24"/>
          <w:szCs w:val="24"/>
        </w:rPr>
        <w:t>credit instit</w:t>
      </w:r>
      <w:r w:rsidR="00FC69A1" w:rsidRPr="00200231">
        <w:rPr>
          <w:sz w:val="24"/>
          <w:szCs w:val="24"/>
        </w:rPr>
        <w:t xml:space="preserve">ution is </w:t>
      </w:r>
      <w:r w:rsidR="00173A3C" w:rsidRPr="00200231">
        <w:rPr>
          <w:sz w:val="24"/>
          <w:szCs w:val="24"/>
        </w:rPr>
        <w:t>prohibited from</w:t>
      </w:r>
      <w:r w:rsidR="00FC69A1" w:rsidRPr="00200231">
        <w:rPr>
          <w:sz w:val="24"/>
          <w:szCs w:val="24"/>
        </w:rPr>
        <w:t xml:space="preserve"> </w:t>
      </w:r>
      <w:r w:rsidR="00173A3C" w:rsidRPr="00200231">
        <w:rPr>
          <w:sz w:val="24"/>
          <w:szCs w:val="24"/>
        </w:rPr>
        <w:t>having banking activities. The banking activities include regular provision of lending services</w:t>
      </w:r>
      <w:r w:rsidR="005F7D5A">
        <w:rPr>
          <w:sz w:val="24"/>
          <w:szCs w:val="24"/>
        </w:rPr>
        <w:t xml:space="preserve"> for the profit purpose</w:t>
      </w:r>
      <w:r w:rsidR="00F204E1">
        <w:rPr>
          <w:sz w:val="24"/>
          <w:szCs w:val="24"/>
        </w:rPr>
        <w:t xml:space="preserve"> but</w:t>
      </w:r>
      <w:r w:rsidR="00173A3C" w:rsidRPr="00200231">
        <w:rPr>
          <w:sz w:val="24"/>
          <w:szCs w:val="24"/>
        </w:rPr>
        <w:t xml:space="preserve"> there is no further explanation on “regular provision” and </w:t>
      </w:r>
      <w:r w:rsidR="005F7D5A">
        <w:rPr>
          <w:sz w:val="24"/>
          <w:szCs w:val="24"/>
        </w:rPr>
        <w:t>“profit purpose</w:t>
      </w:r>
      <w:r w:rsidR="00C3251D" w:rsidRPr="00200231">
        <w:rPr>
          <w:sz w:val="24"/>
          <w:szCs w:val="24"/>
        </w:rPr>
        <w:t>”</w:t>
      </w:r>
      <w:r w:rsidR="00F204E1">
        <w:rPr>
          <w:sz w:val="24"/>
          <w:szCs w:val="24"/>
        </w:rPr>
        <w:t xml:space="preserve">. However, </w:t>
      </w:r>
      <w:r w:rsidR="00173A3C" w:rsidRPr="00200231">
        <w:rPr>
          <w:sz w:val="24"/>
          <w:szCs w:val="24"/>
        </w:rPr>
        <w:t>the balance transfer</w:t>
      </w:r>
      <w:r w:rsidR="00F204E1">
        <w:rPr>
          <w:sz w:val="24"/>
          <w:szCs w:val="24"/>
        </w:rPr>
        <w:t>s</w:t>
      </w:r>
      <w:r w:rsidR="00173A3C" w:rsidRPr="00200231">
        <w:rPr>
          <w:sz w:val="24"/>
          <w:szCs w:val="24"/>
        </w:rPr>
        <w:t xml:space="preserve"> between accounts of entities within a group may </w:t>
      </w:r>
      <w:r w:rsidR="00F204E1">
        <w:rPr>
          <w:sz w:val="24"/>
          <w:szCs w:val="24"/>
        </w:rPr>
        <w:t>should not be</w:t>
      </w:r>
      <w:r w:rsidR="00173A3C" w:rsidRPr="00200231">
        <w:rPr>
          <w:sz w:val="24"/>
          <w:szCs w:val="24"/>
        </w:rPr>
        <w:t xml:space="preserve"> viewed as</w:t>
      </w:r>
      <w:r w:rsidR="00C3251D" w:rsidRPr="00200231">
        <w:rPr>
          <w:sz w:val="24"/>
          <w:szCs w:val="24"/>
        </w:rPr>
        <w:t xml:space="preserve"> </w:t>
      </w:r>
      <w:r w:rsidR="00F204E1">
        <w:rPr>
          <w:sz w:val="24"/>
          <w:szCs w:val="24"/>
        </w:rPr>
        <w:t xml:space="preserve">lending for the profit purpose and hence, not </w:t>
      </w:r>
      <w:r w:rsidR="00C3251D" w:rsidRPr="00200231">
        <w:rPr>
          <w:sz w:val="24"/>
          <w:szCs w:val="24"/>
        </w:rPr>
        <w:t>a banking activity</w:t>
      </w:r>
      <w:r w:rsidR="00173A3C" w:rsidRPr="00200231">
        <w:rPr>
          <w:sz w:val="24"/>
          <w:szCs w:val="24"/>
        </w:rPr>
        <w:t>.</w:t>
      </w:r>
    </w:p>
    <w:p w:rsidR="00F204E1" w:rsidRPr="00BB289A" w:rsidRDefault="00F204E1" w:rsidP="00BB289A">
      <w:pPr>
        <w:pStyle w:val="AOHead2"/>
        <w:tabs>
          <w:tab w:val="clear" w:pos="720"/>
        </w:tabs>
        <w:ind w:left="360" w:hanging="360"/>
        <w:rPr>
          <w:i/>
          <w:sz w:val="24"/>
          <w:szCs w:val="24"/>
        </w:rPr>
      </w:pPr>
      <w:r w:rsidRPr="00BB289A">
        <w:rPr>
          <w:i/>
          <w:sz w:val="24"/>
          <w:szCs w:val="24"/>
        </w:rPr>
        <w:t xml:space="preserve">Lending activities under the Enterprise Law and the Civil Code </w:t>
      </w:r>
    </w:p>
    <w:p w:rsidR="00F204E1" w:rsidRDefault="00F204E1" w:rsidP="007019B8">
      <w:pPr>
        <w:pStyle w:val="AODocTxtL1"/>
        <w:ind w:left="0"/>
        <w:rPr>
          <w:sz w:val="24"/>
          <w:szCs w:val="24"/>
        </w:rPr>
      </w:pPr>
      <w:r>
        <w:rPr>
          <w:sz w:val="24"/>
          <w:szCs w:val="24"/>
        </w:rPr>
        <w:t>U</w:t>
      </w:r>
      <w:r w:rsidR="00164573" w:rsidRPr="00200231">
        <w:rPr>
          <w:sz w:val="24"/>
          <w:szCs w:val="24"/>
        </w:rPr>
        <w:t>nder Article 7.2 of Law no. 68/2014/QH13 passed by the National Assembly of Vietnam on 26 November 2014</w:t>
      </w:r>
      <w:r>
        <w:rPr>
          <w:sz w:val="24"/>
          <w:szCs w:val="24"/>
        </w:rPr>
        <w:t xml:space="preserve"> on Enterprises</w:t>
      </w:r>
      <w:r w:rsidR="00164573" w:rsidRPr="00200231">
        <w:rPr>
          <w:sz w:val="24"/>
          <w:szCs w:val="24"/>
        </w:rPr>
        <w:t>, a</w:t>
      </w:r>
      <w:r>
        <w:rPr>
          <w:sz w:val="24"/>
          <w:szCs w:val="24"/>
        </w:rPr>
        <w:t xml:space="preserve"> company</w:t>
      </w:r>
      <w:r w:rsidR="00164573" w:rsidRPr="00200231">
        <w:rPr>
          <w:sz w:val="24"/>
          <w:szCs w:val="24"/>
        </w:rPr>
        <w:t xml:space="preserve"> </w:t>
      </w:r>
      <w:r>
        <w:rPr>
          <w:sz w:val="24"/>
          <w:szCs w:val="24"/>
        </w:rPr>
        <w:t>has</w:t>
      </w:r>
      <w:r w:rsidR="00164573" w:rsidRPr="00200231">
        <w:rPr>
          <w:sz w:val="24"/>
          <w:szCs w:val="24"/>
        </w:rPr>
        <w:t xml:space="preserve"> the right to select forms and methods of raising, a</w:t>
      </w:r>
      <w:r>
        <w:rPr>
          <w:sz w:val="24"/>
          <w:szCs w:val="24"/>
        </w:rPr>
        <w:t>ll</w:t>
      </w:r>
      <w:r w:rsidR="00966EEC">
        <w:rPr>
          <w:sz w:val="24"/>
          <w:szCs w:val="24"/>
        </w:rPr>
        <w:t xml:space="preserve">ocating and utilizing capital. </w:t>
      </w:r>
      <w:bookmarkStart w:id="0" w:name="_GoBack"/>
      <w:bookmarkEnd w:id="0"/>
      <w:r>
        <w:rPr>
          <w:sz w:val="24"/>
          <w:szCs w:val="24"/>
        </w:rPr>
        <w:t>Furthermore, there is no restriction on companies from borrowing from or making loans to other companies. This implies that companies may borrow from or make loans to other companies if this is not clearly prohibited by law</w:t>
      </w:r>
      <w:r w:rsidR="00814EF6">
        <w:rPr>
          <w:sz w:val="24"/>
          <w:szCs w:val="24"/>
        </w:rPr>
        <w:t xml:space="preserve"> (i.e. without the profit purpose as this purpose causes the lending activities to fall within the restriction of </w:t>
      </w:r>
      <w:r w:rsidR="00814EF6" w:rsidRPr="00200231">
        <w:rPr>
          <w:sz w:val="24"/>
          <w:szCs w:val="24"/>
        </w:rPr>
        <w:t xml:space="preserve">Article 8.2 of </w:t>
      </w:r>
      <w:r w:rsidR="00814EF6">
        <w:rPr>
          <w:sz w:val="24"/>
          <w:szCs w:val="24"/>
        </w:rPr>
        <w:t>the Law on Credit Institutions as mentioned above</w:t>
      </w:r>
      <w:r>
        <w:rPr>
          <w:sz w:val="24"/>
          <w:szCs w:val="24"/>
        </w:rPr>
        <w:t>.</w:t>
      </w:r>
      <w:r w:rsidR="007019B8" w:rsidRPr="00200231">
        <w:rPr>
          <w:sz w:val="24"/>
          <w:szCs w:val="24"/>
        </w:rPr>
        <w:t xml:space="preserve"> </w:t>
      </w:r>
    </w:p>
    <w:p w:rsidR="008722A3" w:rsidRDefault="00D1733B" w:rsidP="007019B8">
      <w:pPr>
        <w:pStyle w:val="AODocTxtL1"/>
        <w:ind w:left="0"/>
        <w:rPr>
          <w:sz w:val="24"/>
          <w:szCs w:val="24"/>
        </w:rPr>
      </w:pPr>
      <w:r w:rsidRPr="00200231">
        <w:rPr>
          <w:sz w:val="24"/>
          <w:szCs w:val="24"/>
        </w:rPr>
        <w:t xml:space="preserve">In addition, the Civil Code which governs civil relationship in Vietnam allows the </w:t>
      </w:r>
      <w:proofErr w:type="spellStart"/>
      <w:r w:rsidR="004B1A66">
        <w:rPr>
          <w:sz w:val="24"/>
          <w:szCs w:val="24"/>
        </w:rPr>
        <w:t>asset</w:t>
      </w:r>
      <w:r w:rsidR="003C7C38">
        <w:rPr>
          <w:sz w:val="24"/>
          <w:szCs w:val="24"/>
        </w:rPr>
        <w:t>ss</w:t>
      </w:r>
      <w:proofErr w:type="spellEnd"/>
      <w:r w:rsidR="004B1A66">
        <w:rPr>
          <w:sz w:val="24"/>
          <w:szCs w:val="24"/>
        </w:rPr>
        <w:t xml:space="preserve"> owner</w:t>
      </w:r>
      <w:r w:rsidRPr="00200231">
        <w:rPr>
          <w:sz w:val="24"/>
          <w:szCs w:val="24"/>
        </w:rPr>
        <w:t xml:space="preserve"> to conduct any acts with respect to its own assets as long as such acts “are not contrary to the law of Vietnam, do not cause damages to or adversely affect the interest of the country, the nation or the public, or the lawful rights and interests of other persons</w:t>
      </w:r>
      <w:r w:rsidR="00F76432" w:rsidRPr="00200231">
        <w:rPr>
          <w:rStyle w:val="FootnoteReference"/>
          <w:sz w:val="24"/>
          <w:szCs w:val="24"/>
        </w:rPr>
        <w:footnoteReference w:id="2"/>
      </w:r>
      <w:r w:rsidRPr="00200231">
        <w:rPr>
          <w:sz w:val="24"/>
          <w:szCs w:val="24"/>
        </w:rPr>
        <w:t>.</w:t>
      </w:r>
      <w:r w:rsidR="00233F2F" w:rsidRPr="00200231">
        <w:rPr>
          <w:sz w:val="24"/>
          <w:szCs w:val="24"/>
        </w:rPr>
        <w:t xml:space="preserve"> </w:t>
      </w:r>
      <w:r w:rsidR="00164573" w:rsidRPr="00200231">
        <w:rPr>
          <w:sz w:val="24"/>
          <w:szCs w:val="24"/>
        </w:rPr>
        <w:t xml:space="preserve">As above-mentioned, the purpose </w:t>
      </w:r>
      <w:r w:rsidR="00164573" w:rsidRPr="00200231">
        <w:rPr>
          <w:sz w:val="24"/>
          <w:szCs w:val="24"/>
        </w:rPr>
        <w:lastRenderedPageBreak/>
        <w:t xml:space="preserve">of cash pooling is to </w:t>
      </w:r>
      <w:r w:rsidR="002B7572" w:rsidRPr="00200231">
        <w:rPr>
          <w:sz w:val="24"/>
          <w:szCs w:val="24"/>
        </w:rPr>
        <w:t xml:space="preserve">maximise the usage of available </w:t>
      </w:r>
      <w:r w:rsidR="00751806" w:rsidRPr="00200231">
        <w:rPr>
          <w:sz w:val="24"/>
          <w:szCs w:val="24"/>
        </w:rPr>
        <w:t>capital</w:t>
      </w:r>
      <w:r w:rsidR="00751806" w:rsidRPr="00200231">
        <w:rPr>
          <w:rStyle w:val="FootnoteReference"/>
          <w:sz w:val="24"/>
          <w:szCs w:val="24"/>
        </w:rPr>
        <w:footnoteReference w:id="3"/>
      </w:r>
      <w:r w:rsidR="00233F2F" w:rsidRPr="00200231">
        <w:rPr>
          <w:sz w:val="24"/>
          <w:szCs w:val="24"/>
        </w:rPr>
        <w:t xml:space="preserve"> of the group in its day-to-day activities and such usage does not</w:t>
      </w:r>
      <w:r w:rsidR="00751806" w:rsidRPr="00200231">
        <w:rPr>
          <w:sz w:val="24"/>
          <w:szCs w:val="24"/>
        </w:rPr>
        <w:t xml:space="preserve"> cause any damages</w:t>
      </w:r>
      <w:r w:rsidR="004B1A66">
        <w:rPr>
          <w:sz w:val="24"/>
          <w:szCs w:val="24"/>
        </w:rPr>
        <w:t xml:space="preserve"> to</w:t>
      </w:r>
      <w:r w:rsidR="00751806" w:rsidRPr="00200231">
        <w:rPr>
          <w:sz w:val="24"/>
          <w:szCs w:val="24"/>
        </w:rPr>
        <w:t xml:space="preserve"> the interest of the country, the</w:t>
      </w:r>
      <w:r w:rsidR="00274107" w:rsidRPr="00200231">
        <w:rPr>
          <w:sz w:val="24"/>
          <w:szCs w:val="24"/>
        </w:rPr>
        <w:t xml:space="preserve"> public or any other persons. </w:t>
      </w:r>
      <w:r w:rsidR="004B1A66">
        <w:rPr>
          <w:sz w:val="24"/>
          <w:szCs w:val="24"/>
        </w:rPr>
        <w:t>T</w:t>
      </w:r>
      <w:r w:rsidR="00751806" w:rsidRPr="00200231">
        <w:rPr>
          <w:sz w:val="24"/>
          <w:szCs w:val="24"/>
        </w:rPr>
        <w:t>he group</w:t>
      </w:r>
      <w:r w:rsidR="004B1A66">
        <w:rPr>
          <w:sz w:val="24"/>
          <w:szCs w:val="24"/>
        </w:rPr>
        <w:t xml:space="preserve"> of entities</w:t>
      </w:r>
      <w:r w:rsidR="00751806" w:rsidRPr="00200231">
        <w:rPr>
          <w:sz w:val="24"/>
          <w:szCs w:val="24"/>
        </w:rPr>
        <w:t xml:space="preserve"> uses the cash pooling product as a mean of capital allocation and utilization </w:t>
      </w:r>
      <w:r w:rsidR="004B1A66">
        <w:rPr>
          <w:sz w:val="24"/>
          <w:szCs w:val="24"/>
        </w:rPr>
        <w:t>to optimize its finance. As such,</w:t>
      </w:r>
      <w:r w:rsidR="00751806" w:rsidRPr="00200231">
        <w:rPr>
          <w:sz w:val="24"/>
          <w:szCs w:val="24"/>
        </w:rPr>
        <w:t xml:space="preserve"> it should not be understood as a banking activity within the definition under Credit Institution Law 2010. </w:t>
      </w:r>
      <w:r w:rsidR="00814EF6">
        <w:rPr>
          <w:sz w:val="24"/>
          <w:szCs w:val="24"/>
        </w:rPr>
        <w:t xml:space="preserve">  </w:t>
      </w:r>
    </w:p>
    <w:p w:rsidR="00814EF6" w:rsidRPr="00200231" w:rsidRDefault="00814EF6" w:rsidP="007019B8">
      <w:pPr>
        <w:pStyle w:val="AODocTxtL1"/>
        <w:ind w:left="0"/>
        <w:rPr>
          <w:sz w:val="24"/>
          <w:szCs w:val="24"/>
        </w:rPr>
      </w:pPr>
      <w:r>
        <w:rPr>
          <w:sz w:val="24"/>
          <w:szCs w:val="24"/>
        </w:rPr>
        <w:t>Specifically, the Civil Code allows lending between individuals and/or entities under lending contracts.  The maximum interest rate of such lending must not exceed 20% per annum.</w:t>
      </w:r>
    </w:p>
    <w:p w:rsidR="00751806" w:rsidRPr="00BB289A" w:rsidRDefault="00C365D7" w:rsidP="00BB289A">
      <w:pPr>
        <w:pStyle w:val="AOHead2"/>
        <w:tabs>
          <w:tab w:val="clear" w:pos="720"/>
        </w:tabs>
        <w:ind w:left="360" w:hanging="360"/>
        <w:rPr>
          <w:i/>
          <w:sz w:val="24"/>
          <w:szCs w:val="24"/>
        </w:rPr>
      </w:pPr>
      <w:r w:rsidRPr="00BB289A">
        <w:rPr>
          <w:i/>
          <w:sz w:val="24"/>
          <w:szCs w:val="24"/>
        </w:rPr>
        <w:t>Permitted lending activities of entities which are not credit institutions</w:t>
      </w:r>
    </w:p>
    <w:p w:rsidR="00F17DA4" w:rsidRPr="00200231" w:rsidRDefault="00751806" w:rsidP="007019B8">
      <w:pPr>
        <w:pStyle w:val="AODocTxtL1"/>
        <w:ind w:left="0"/>
        <w:rPr>
          <w:sz w:val="24"/>
          <w:szCs w:val="24"/>
        </w:rPr>
      </w:pPr>
      <w:r w:rsidRPr="00200231">
        <w:rPr>
          <w:sz w:val="24"/>
          <w:szCs w:val="24"/>
        </w:rPr>
        <w:t xml:space="preserve">Besides, </w:t>
      </w:r>
      <w:r w:rsidR="00C365D7" w:rsidRPr="00200231">
        <w:rPr>
          <w:sz w:val="24"/>
          <w:szCs w:val="24"/>
        </w:rPr>
        <w:t>u</w:t>
      </w:r>
      <w:r w:rsidR="0021178A" w:rsidRPr="00200231">
        <w:rPr>
          <w:sz w:val="24"/>
          <w:szCs w:val="24"/>
        </w:rPr>
        <w:t xml:space="preserve">nder Article 6.2 of Decree </w:t>
      </w:r>
      <w:r w:rsidR="00905FCE" w:rsidRPr="00200231">
        <w:rPr>
          <w:sz w:val="24"/>
          <w:szCs w:val="24"/>
        </w:rPr>
        <w:t xml:space="preserve">no. </w:t>
      </w:r>
      <w:r w:rsidR="0021178A" w:rsidRPr="00200231">
        <w:rPr>
          <w:sz w:val="24"/>
          <w:szCs w:val="24"/>
        </w:rPr>
        <w:t>222/2013/ND-CP</w:t>
      </w:r>
      <w:r w:rsidR="00905FCE" w:rsidRPr="00200231">
        <w:rPr>
          <w:sz w:val="24"/>
          <w:szCs w:val="24"/>
        </w:rPr>
        <w:t xml:space="preserve"> dated 29 January 2015</w:t>
      </w:r>
      <w:r w:rsidR="00C365D7" w:rsidRPr="00200231">
        <w:rPr>
          <w:sz w:val="24"/>
          <w:szCs w:val="24"/>
        </w:rPr>
        <w:t xml:space="preserve"> on </w:t>
      </w:r>
      <w:r w:rsidR="00905FCE" w:rsidRPr="00200231">
        <w:rPr>
          <w:sz w:val="24"/>
          <w:szCs w:val="24"/>
        </w:rPr>
        <w:t>cash payment issued by the Government</w:t>
      </w:r>
      <w:r w:rsidR="0046358F" w:rsidRPr="00200231">
        <w:rPr>
          <w:sz w:val="24"/>
          <w:szCs w:val="24"/>
        </w:rPr>
        <w:t xml:space="preserve"> and Article</w:t>
      </w:r>
      <w:r w:rsidR="00C67E83" w:rsidRPr="00200231">
        <w:rPr>
          <w:sz w:val="24"/>
          <w:szCs w:val="24"/>
        </w:rPr>
        <w:t xml:space="preserve"> 4.1 of Circular </w:t>
      </w:r>
      <w:r w:rsidR="00905FCE" w:rsidRPr="00200231">
        <w:rPr>
          <w:sz w:val="24"/>
          <w:szCs w:val="24"/>
        </w:rPr>
        <w:t xml:space="preserve">no. </w:t>
      </w:r>
      <w:r w:rsidR="00C67E83" w:rsidRPr="00200231">
        <w:rPr>
          <w:sz w:val="24"/>
          <w:szCs w:val="24"/>
        </w:rPr>
        <w:t>09/2015/TT-BTC</w:t>
      </w:r>
      <w:r w:rsidR="00905FCE" w:rsidRPr="00200231">
        <w:rPr>
          <w:sz w:val="24"/>
          <w:szCs w:val="24"/>
        </w:rPr>
        <w:t xml:space="preserve"> providing guidance on financing transaction</w:t>
      </w:r>
      <w:r w:rsidR="00F673E3" w:rsidRPr="00200231">
        <w:rPr>
          <w:sz w:val="24"/>
          <w:szCs w:val="24"/>
        </w:rPr>
        <w:t>s</w:t>
      </w:r>
      <w:r w:rsidR="00905FCE" w:rsidRPr="00200231">
        <w:rPr>
          <w:sz w:val="24"/>
          <w:szCs w:val="24"/>
        </w:rPr>
        <w:t xml:space="preserve"> of enterprise</w:t>
      </w:r>
      <w:r w:rsidR="00F673E3" w:rsidRPr="00200231">
        <w:rPr>
          <w:sz w:val="24"/>
          <w:szCs w:val="24"/>
        </w:rPr>
        <w:t>s</w:t>
      </w:r>
      <w:r w:rsidR="00905FCE" w:rsidRPr="00200231">
        <w:rPr>
          <w:sz w:val="24"/>
          <w:szCs w:val="24"/>
        </w:rPr>
        <w:t xml:space="preserve"> under Article 6 of Decree No. 222/2013/ND-CP</w:t>
      </w:r>
      <w:r w:rsidR="00C67E83" w:rsidRPr="00200231">
        <w:rPr>
          <w:sz w:val="24"/>
          <w:szCs w:val="24"/>
        </w:rPr>
        <w:t xml:space="preserve">, </w:t>
      </w:r>
      <w:r w:rsidR="008722A3" w:rsidRPr="00200231">
        <w:rPr>
          <w:sz w:val="24"/>
          <w:szCs w:val="24"/>
        </w:rPr>
        <w:t xml:space="preserve">an </w:t>
      </w:r>
      <w:r w:rsidR="00C67E83" w:rsidRPr="00200231">
        <w:rPr>
          <w:sz w:val="24"/>
          <w:szCs w:val="24"/>
        </w:rPr>
        <w:t>e</w:t>
      </w:r>
      <w:r w:rsidR="0046358F" w:rsidRPr="00200231">
        <w:rPr>
          <w:sz w:val="24"/>
          <w:szCs w:val="24"/>
        </w:rPr>
        <w:t>n</w:t>
      </w:r>
      <w:r w:rsidR="008722A3" w:rsidRPr="00200231">
        <w:rPr>
          <w:sz w:val="24"/>
          <w:szCs w:val="24"/>
        </w:rPr>
        <w:t>tity</w:t>
      </w:r>
      <w:r w:rsidR="0046358F" w:rsidRPr="00200231">
        <w:rPr>
          <w:sz w:val="24"/>
          <w:szCs w:val="24"/>
        </w:rPr>
        <w:t xml:space="preserve"> </w:t>
      </w:r>
      <w:r w:rsidR="00905FCE" w:rsidRPr="00200231">
        <w:rPr>
          <w:sz w:val="24"/>
          <w:szCs w:val="24"/>
        </w:rPr>
        <w:t>other than</w:t>
      </w:r>
      <w:r w:rsidR="004B1A66">
        <w:rPr>
          <w:sz w:val="24"/>
          <w:szCs w:val="24"/>
        </w:rPr>
        <w:t xml:space="preserve"> credit institution is</w:t>
      </w:r>
      <w:r w:rsidR="0046358F" w:rsidRPr="00200231">
        <w:rPr>
          <w:sz w:val="24"/>
          <w:szCs w:val="24"/>
        </w:rPr>
        <w:t xml:space="preserve"> permitted</w:t>
      </w:r>
      <w:r w:rsidR="008722A3" w:rsidRPr="00200231">
        <w:rPr>
          <w:sz w:val="24"/>
          <w:szCs w:val="24"/>
        </w:rPr>
        <w:t xml:space="preserve"> to</w:t>
      </w:r>
      <w:r w:rsidR="0046358F" w:rsidRPr="00200231">
        <w:rPr>
          <w:sz w:val="24"/>
          <w:szCs w:val="24"/>
        </w:rPr>
        <w:t xml:space="preserve"> </w:t>
      </w:r>
      <w:r w:rsidR="008722A3" w:rsidRPr="00200231">
        <w:rPr>
          <w:sz w:val="24"/>
          <w:szCs w:val="24"/>
        </w:rPr>
        <w:t>borrow from or provide loans to another non-credit institution entity in one of the following methods:</w:t>
      </w:r>
    </w:p>
    <w:p w:rsidR="008722A3" w:rsidRPr="00200231" w:rsidRDefault="008722A3" w:rsidP="00D060C0">
      <w:pPr>
        <w:pStyle w:val="AODocTxtL1"/>
        <w:numPr>
          <w:ilvl w:val="0"/>
          <w:numId w:val="19"/>
        </w:numPr>
        <w:ind w:left="360"/>
        <w:rPr>
          <w:sz w:val="24"/>
          <w:szCs w:val="24"/>
        </w:rPr>
      </w:pPr>
      <w:r w:rsidRPr="00200231">
        <w:rPr>
          <w:sz w:val="24"/>
          <w:szCs w:val="24"/>
        </w:rPr>
        <w:t>Payment by cheque;</w:t>
      </w:r>
    </w:p>
    <w:p w:rsidR="008722A3" w:rsidRPr="00200231" w:rsidRDefault="008722A3" w:rsidP="00D060C0">
      <w:pPr>
        <w:pStyle w:val="AODocTxtL1"/>
        <w:numPr>
          <w:ilvl w:val="0"/>
          <w:numId w:val="19"/>
        </w:numPr>
        <w:ind w:left="360"/>
        <w:rPr>
          <w:sz w:val="24"/>
          <w:szCs w:val="24"/>
        </w:rPr>
      </w:pPr>
      <w:r w:rsidRPr="00200231">
        <w:rPr>
          <w:sz w:val="24"/>
          <w:szCs w:val="24"/>
        </w:rPr>
        <w:t>Payment by authorized payment orders – transfer orders; or</w:t>
      </w:r>
    </w:p>
    <w:p w:rsidR="008722A3" w:rsidRPr="00200231" w:rsidRDefault="008722A3" w:rsidP="00D060C0">
      <w:pPr>
        <w:pStyle w:val="AODocTxtL1"/>
        <w:numPr>
          <w:ilvl w:val="0"/>
          <w:numId w:val="19"/>
        </w:numPr>
        <w:ind w:left="360"/>
        <w:rPr>
          <w:sz w:val="24"/>
          <w:szCs w:val="24"/>
        </w:rPr>
      </w:pPr>
      <w:r w:rsidRPr="00200231">
        <w:rPr>
          <w:sz w:val="24"/>
          <w:szCs w:val="24"/>
        </w:rPr>
        <w:t>Other appropriate non-cash payment</w:t>
      </w:r>
      <w:r w:rsidR="003157CC" w:rsidRPr="00200231">
        <w:rPr>
          <w:sz w:val="24"/>
          <w:szCs w:val="24"/>
        </w:rPr>
        <w:t xml:space="preserve"> methods</w:t>
      </w:r>
      <w:r w:rsidRPr="00200231">
        <w:rPr>
          <w:sz w:val="24"/>
          <w:szCs w:val="24"/>
        </w:rPr>
        <w:t xml:space="preserve"> under the law.</w:t>
      </w:r>
    </w:p>
    <w:p w:rsidR="00000A60" w:rsidRDefault="00ED5EF3" w:rsidP="008722A3">
      <w:pPr>
        <w:pStyle w:val="AODocTxtL1"/>
        <w:ind w:left="0"/>
        <w:rPr>
          <w:sz w:val="24"/>
          <w:szCs w:val="24"/>
        </w:rPr>
      </w:pPr>
      <w:r>
        <w:rPr>
          <w:sz w:val="24"/>
          <w:szCs w:val="24"/>
        </w:rPr>
        <w:t>The</w:t>
      </w:r>
      <w:r w:rsidR="00FF7197">
        <w:rPr>
          <w:sz w:val="24"/>
          <w:szCs w:val="24"/>
        </w:rPr>
        <w:t xml:space="preserve"> existence of</w:t>
      </w:r>
      <w:r>
        <w:rPr>
          <w:sz w:val="24"/>
          <w:szCs w:val="24"/>
        </w:rPr>
        <w:t xml:space="preserve"> lending activities of non-credit institution </w:t>
      </w:r>
      <w:r w:rsidR="00FF7197">
        <w:rPr>
          <w:sz w:val="24"/>
          <w:szCs w:val="24"/>
        </w:rPr>
        <w:t>entities is</w:t>
      </w:r>
      <w:r>
        <w:rPr>
          <w:sz w:val="24"/>
          <w:szCs w:val="24"/>
        </w:rPr>
        <w:t xml:space="preserve"> recognized</w:t>
      </w:r>
      <w:r w:rsidR="007B0DFD">
        <w:rPr>
          <w:sz w:val="24"/>
          <w:szCs w:val="24"/>
        </w:rPr>
        <w:t xml:space="preserve"> and</w:t>
      </w:r>
      <w:r w:rsidR="00FF7197">
        <w:rPr>
          <w:sz w:val="24"/>
          <w:szCs w:val="24"/>
        </w:rPr>
        <w:t xml:space="preserve"> such activities</w:t>
      </w:r>
      <w:r w:rsidR="007B0DFD">
        <w:rPr>
          <w:sz w:val="24"/>
          <w:szCs w:val="24"/>
        </w:rPr>
        <w:t xml:space="preserve"> </w:t>
      </w:r>
      <w:r w:rsidR="00D54A2C">
        <w:rPr>
          <w:sz w:val="24"/>
          <w:szCs w:val="24"/>
        </w:rPr>
        <w:t>are not</w:t>
      </w:r>
      <w:r w:rsidR="007B0DFD">
        <w:rPr>
          <w:sz w:val="24"/>
          <w:szCs w:val="24"/>
        </w:rPr>
        <w:t xml:space="preserve"> subject to value-added tax</w:t>
      </w:r>
      <w:r>
        <w:rPr>
          <w:sz w:val="24"/>
          <w:szCs w:val="24"/>
        </w:rPr>
        <w:t xml:space="preserve"> under </w:t>
      </w:r>
      <w:r w:rsidR="007B0DFD">
        <w:rPr>
          <w:sz w:val="24"/>
          <w:szCs w:val="24"/>
        </w:rPr>
        <w:t>V</w:t>
      </w:r>
      <w:r w:rsidR="00D54A2C">
        <w:rPr>
          <w:sz w:val="24"/>
          <w:szCs w:val="24"/>
        </w:rPr>
        <w:t>AT Law</w:t>
      </w:r>
      <w:r w:rsidR="00FF7197">
        <w:rPr>
          <w:sz w:val="24"/>
          <w:szCs w:val="24"/>
        </w:rPr>
        <w:t>.</w:t>
      </w:r>
      <w:r w:rsidR="007B0DFD">
        <w:rPr>
          <w:rStyle w:val="FootnoteReference"/>
          <w:sz w:val="24"/>
          <w:szCs w:val="24"/>
        </w:rPr>
        <w:footnoteReference w:id="4"/>
      </w:r>
      <w:r w:rsidR="00D54A2C">
        <w:rPr>
          <w:sz w:val="24"/>
          <w:szCs w:val="24"/>
        </w:rPr>
        <w:t xml:space="preserve"> M</w:t>
      </w:r>
      <w:r w:rsidR="00FF7197">
        <w:rPr>
          <w:sz w:val="24"/>
          <w:szCs w:val="24"/>
        </w:rPr>
        <w:t>inistry of F</w:t>
      </w:r>
      <w:r w:rsidR="00D54A2C">
        <w:rPr>
          <w:sz w:val="24"/>
          <w:szCs w:val="24"/>
        </w:rPr>
        <w:t>ina</w:t>
      </w:r>
      <w:r w:rsidR="00E96E8C">
        <w:rPr>
          <w:sz w:val="24"/>
          <w:szCs w:val="24"/>
        </w:rPr>
        <w:t xml:space="preserve">nce explains further as </w:t>
      </w:r>
      <w:r w:rsidR="009C404F">
        <w:rPr>
          <w:sz w:val="24"/>
          <w:szCs w:val="24"/>
        </w:rPr>
        <w:t>“</w:t>
      </w:r>
      <w:r w:rsidR="00EE173C">
        <w:rPr>
          <w:sz w:val="24"/>
          <w:szCs w:val="24"/>
        </w:rPr>
        <w:t xml:space="preserve">the </w:t>
      </w:r>
      <w:r w:rsidR="00E96E8C">
        <w:rPr>
          <w:sz w:val="24"/>
          <w:szCs w:val="24"/>
        </w:rPr>
        <w:t>singular lending</w:t>
      </w:r>
      <w:r w:rsidR="00EE173C">
        <w:rPr>
          <w:sz w:val="24"/>
          <w:szCs w:val="24"/>
        </w:rPr>
        <w:t xml:space="preserve"> activities of tax payers other than credit institutions which</w:t>
      </w:r>
      <w:r w:rsidR="00E96E8C">
        <w:rPr>
          <w:sz w:val="24"/>
          <w:szCs w:val="24"/>
        </w:rPr>
        <w:t xml:space="preserve"> </w:t>
      </w:r>
      <w:r w:rsidR="00EE173C">
        <w:rPr>
          <w:sz w:val="24"/>
          <w:szCs w:val="24"/>
        </w:rPr>
        <w:t xml:space="preserve">are </w:t>
      </w:r>
      <w:r w:rsidR="00E96E8C">
        <w:rPr>
          <w:sz w:val="24"/>
          <w:szCs w:val="24"/>
        </w:rPr>
        <w:t>not for profit purposes</w:t>
      </w:r>
      <w:r w:rsidR="00EE173C">
        <w:rPr>
          <w:sz w:val="24"/>
          <w:szCs w:val="24"/>
        </w:rPr>
        <w:t xml:space="preserve"> and regular provision”. For example, VC Joint Stock Company has some free cash which has not been used for its business and de</w:t>
      </w:r>
      <w:r w:rsidR="00CE0BAB">
        <w:rPr>
          <w:sz w:val="24"/>
          <w:szCs w:val="24"/>
        </w:rPr>
        <w:t>cides to lend that amount to T C</w:t>
      </w:r>
      <w:r w:rsidR="00EE173C">
        <w:rPr>
          <w:sz w:val="24"/>
          <w:szCs w:val="24"/>
        </w:rPr>
        <w:t xml:space="preserve">ompany for a term of 6 months. </w:t>
      </w:r>
      <w:r w:rsidR="00CE0BAB">
        <w:rPr>
          <w:sz w:val="24"/>
          <w:szCs w:val="24"/>
        </w:rPr>
        <w:t>The interest received by VC Joint Stock Company in such case is not subject to the value-added tax.</w:t>
      </w:r>
      <w:r w:rsidR="00E96E8C">
        <w:rPr>
          <w:rStyle w:val="FootnoteReference"/>
          <w:sz w:val="24"/>
          <w:szCs w:val="24"/>
        </w:rPr>
        <w:footnoteReference w:id="5"/>
      </w:r>
    </w:p>
    <w:p w:rsidR="00310C51" w:rsidRPr="00200231" w:rsidRDefault="00274107" w:rsidP="008722A3">
      <w:pPr>
        <w:pStyle w:val="AODocTxtL1"/>
        <w:ind w:left="0"/>
        <w:rPr>
          <w:sz w:val="24"/>
          <w:szCs w:val="24"/>
        </w:rPr>
      </w:pPr>
      <w:r w:rsidRPr="00200231">
        <w:rPr>
          <w:sz w:val="24"/>
          <w:szCs w:val="24"/>
        </w:rPr>
        <w:t>In addition,</w:t>
      </w:r>
      <w:r w:rsidR="00E41450" w:rsidRPr="00200231">
        <w:rPr>
          <w:sz w:val="24"/>
          <w:szCs w:val="24"/>
        </w:rPr>
        <w:t xml:space="preserve"> under Article 23.1 of Law no. 69/2014/QH13 on management and utilization of the State’s investment capital in the enterprise’s manufacturing and business activities passed by the National Assembly of Vietnam on 26 November 2014,</w:t>
      </w:r>
      <w:r w:rsidRPr="00200231">
        <w:rPr>
          <w:sz w:val="24"/>
          <w:szCs w:val="24"/>
        </w:rPr>
        <w:t xml:space="preserve"> the state-owned enterprises </w:t>
      </w:r>
      <w:r w:rsidR="002D73D0" w:rsidRPr="00200231">
        <w:rPr>
          <w:sz w:val="24"/>
          <w:szCs w:val="24"/>
        </w:rPr>
        <w:t>have the right</w:t>
      </w:r>
      <w:r w:rsidR="003157CC" w:rsidRPr="00200231">
        <w:rPr>
          <w:sz w:val="24"/>
          <w:szCs w:val="24"/>
        </w:rPr>
        <w:t xml:space="preserve"> to</w:t>
      </w:r>
      <w:r w:rsidR="00034A6B" w:rsidRPr="00200231">
        <w:rPr>
          <w:sz w:val="24"/>
          <w:szCs w:val="24"/>
        </w:rPr>
        <w:t xml:space="preserve"> take loans from</w:t>
      </w:r>
      <w:r w:rsidR="002D73D0" w:rsidRPr="00200231">
        <w:rPr>
          <w:sz w:val="24"/>
          <w:szCs w:val="24"/>
        </w:rPr>
        <w:t xml:space="preserve"> entities other than credit institution.</w:t>
      </w:r>
      <w:r w:rsidR="00034A6B" w:rsidRPr="00200231">
        <w:rPr>
          <w:sz w:val="24"/>
          <w:szCs w:val="24"/>
        </w:rPr>
        <w:t xml:space="preserve"> </w:t>
      </w:r>
      <w:r w:rsidR="002D73D0" w:rsidRPr="00200231">
        <w:rPr>
          <w:sz w:val="24"/>
          <w:szCs w:val="24"/>
        </w:rPr>
        <w:t xml:space="preserve">This right </w:t>
      </w:r>
      <w:r w:rsidR="00E41450" w:rsidRPr="00200231">
        <w:rPr>
          <w:sz w:val="24"/>
          <w:szCs w:val="24"/>
        </w:rPr>
        <w:t>is also embedded in the finance management procedure of major State-owned groups like Vietnam Electricity</w:t>
      </w:r>
      <w:r w:rsidR="00E41450" w:rsidRPr="00200231">
        <w:rPr>
          <w:rStyle w:val="FootnoteReference"/>
          <w:sz w:val="24"/>
          <w:szCs w:val="24"/>
        </w:rPr>
        <w:footnoteReference w:id="6"/>
      </w:r>
      <w:r w:rsidR="00E41450" w:rsidRPr="00200231">
        <w:rPr>
          <w:sz w:val="24"/>
          <w:szCs w:val="24"/>
        </w:rPr>
        <w:t xml:space="preserve"> or Vietnam National Oil and Gas Group</w:t>
      </w:r>
      <w:r w:rsidR="00E41450" w:rsidRPr="00200231">
        <w:rPr>
          <w:rStyle w:val="FootnoteReference"/>
          <w:sz w:val="24"/>
          <w:szCs w:val="24"/>
        </w:rPr>
        <w:footnoteReference w:id="7"/>
      </w:r>
      <w:r w:rsidR="00E41450" w:rsidRPr="00200231">
        <w:rPr>
          <w:sz w:val="24"/>
          <w:szCs w:val="24"/>
        </w:rPr>
        <w:t xml:space="preserve">. </w:t>
      </w:r>
      <w:r w:rsidR="007E7E9B" w:rsidRPr="00200231">
        <w:rPr>
          <w:sz w:val="24"/>
          <w:szCs w:val="24"/>
        </w:rPr>
        <w:t xml:space="preserve">So, the lending activities </w:t>
      </w:r>
      <w:r w:rsidR="004B1A66">
        <w:rPr>
          <w:sz w:val="24"/>
          <w:szCs w:val="24"/>
        </w:rPr>
        <w:t xml:space="preserve">between </w:t>
      </w:r>
      <w:r w:rsidR="007E7E9B" w:rsidRPr="00200231">
        <w:rPr>
          <w:sz w:val="24"/>
          <w:szCs w:val="24"/>
        </w:rPr>
        <w:t>non-credit institution</w:t>
      </w:r>
      <w:r w:rsidR="004B1A66">
        <w:rPr>
          <w:sz w:val="24"/>
          <w:szCs w:val="24"/>
        </w:rPr>
        <w:t xml:space="preserve"> entities</w:t>
      </w:r>
      <w:r w:rsidR="007E7E9B" w:rsidRPr="00200231">
        <w:rPr>
          <w:sz w:val="24"/>
          <w:szCs w:val="24"/>
        </w:rPr>
        <w:t xml:space="preserve"> for the purpose of capital mobilization have</w:t>
      </w:r>
      <w:r w:rsidR="004B1A66">
        <w:rPr>
          <w:sz w:val="24"/>
          <w:szCs w:val="24"/>
        </w:rPr>
        <w:t xml:space="preserve"> </w:t>
      </w:r>
      <w:r w:rsidR="00F204E1">
        <w:rPr>
          <w:sz w:val="24"/>
          <w:szCs w:val="24"/>
        </w:rPr>
        <w:t>clearly</w:t>
      </w:r>
      <w:r w:rsidR="007E7E9B" w:rsidRPr="00200231">
        <w:rPr>
          <w:sz w:val="24"/>
          <w:szCs w:val="24"/>
        </w:rPr>
        <w:t xml:space="preserve"> been permitted under the law of Vietnam i</w:t>
      </w:r>
      <w:r w:rsidR="004B1A66">
        <w:rPr>
          <w:sz w:val="24"/>
          <w:szCs w:val="24"/>
        </w:rPr>
        <w:t>n some circumstances.</w:t>
      </w:r>
    </w:p>
    <w:p w:rsidR="007E7E9B" w:rsidRPr="00200231" w:rsidRDefault="007E7E9B" w:rsidP="00BB289A">
      <w:pPr>
        <w:pStyle w:val="AOHead1"/>
        <w:tabs>
          <w:tab w:val="clear" w:pos="720"/>
        </w:tabs>
        <w:ind w:left="360" w:hanging="360"/>
        <w:rPr>
          <w:sz w:val="24"/>
          <w:szCs w:val="24"/>
        </w:rPr>
      </w:pPr>
      <w:r w:rsidRPr="00200231">
        <w:rPr>
          <w:sz w:val="24"/>
          <w:szCs w:val="24"/>
        </w:rPr>
        <w:lastRenderedPageBreak/>
        <w:t>Conclusion</w:t>
      </w:r>
    </w:p>
    <w:p w:rsidR="007E7E9B" w:rsidRPr="00200231" w:rsidRDefault="004B1A66" w:rsidP="007E7E9B">
      <w:pPr>
        <w:pStyle w:val="AODocTxtL1"/>
        <w:ind w:left="0"/>
        <w:rPr>
          <w:sz w:val="24"/>
          <w:szCs w:val="24"/>
        </w:rPr>
      </w:pPr>
      <w:r>
        <w:rPr>
          <w:sz w:val="24"/>
          <w:szCs w:val="24"/>
        </w:rPr>
        <w:t>As t</w:t>
      </w:r>
      <w:r w:rsidR="00980C37" w:rsidRPr="00200231">
        <w:rPr>
          <w:sz w:val="24"/>
          <w:szCs w:val="24"/>
        </w:rPr>
        <w:t>he current law of Vietna</w:t>
      </w:r>
      <w:r>
        <w:rPr>
          <w:sz w:val="24"/>
          <w:szCs w:val="24"/>
        </w:rPr>
        <w:t>m does not</w:t>
      </w:r>
      <w:r w:rsidR="009D0A28">
        <w:rPr>
          <w:sz w:val="24"/>
          <w:szCs w:val="24"/>
        </w:rPr>
        <w:t xml:space="preserve"> </w:t>
      </w:r>
      <w:r w:rsidR="00474756">
        <w:rPr>
          <w:sz w:val="24"/>
          <w:szCs w:val="24"/>
        </w:rPr>
        <w:t xml:space="preserve">clearly </w:t>
      </w:r>
      <w:r>
        <w:rPr>
          <w:sz w:val="24"/>
          <w:szCs w:val="24"/>
        </w:rPr>
        <w:t>prohibit the</w:t>
      </w:r>
      <w:r w:rsidR="009D0A28">
        <w:rPr>
          <w:sz w:val="24"/>
          <w:szCs w:val="24"/>
        </w:rPr>
        <w:t xml:space="preserve"> lending activities between non-credit institution entities and the cash pooling structure is solely for the purpose of capital optimisation within a group of entities</w:t>
      </w:r>
      <w:r w:rsidR="00474756">
        <w:rPr>
          <w:sz w:val="24"/>
          <w:szCs w:val="24"/>
        </w:rPr>
        <w:t xml:space="preserve"> (not for the profit purpose)</w:t>
      </w:r>
      <w:r w:rsidR="009D0A28">
        <w:rPr>
          <w:sz w:val="24"/>
          <w:szCs w:val="24"/>
        </w:rPr>
        <w:t xml:space="preserve">, such structure should be recognized and regulated to clear out the uncertainty. </w:t>
      </w:r>
      <w:r w:rsidR="004127E4">
        <w:rPr>
          <w:sz w:val="24"/>
          <w:szCs w:val="24"/>
        </w:rPr>
        <w:t>It is suggested that t</w:t>
      </w:r>
      <w:r w:rsidR="009D0A28">
        <w:rPr>
          <w:sz w:val="24"/>
          <w:szCs w:val="24"/>
        </w:rPr>
        <w:t xml:space="preserve">he </w:t>
      </w:r>
      <w:r w:rsidR="00F848A5">
        <w:rPr>
          <w:sz w:val="24"/>
          <w:szCs w:val="24"/>
        </w:rPr>
        <w:t xml:space="preserve">Government </w:t>
      </w:r>
      <w:r w:rsidR="009D0A28">
        <w:rPr>
          <w:sz w:val="24"/>
          <w:szCs w:val="24"/>
        </w:rPr>
        <w:t>may consider</w:t>
      </w:r>
      <w:r w:rsidR="004127E4">
        <w:rPr>
          <w:sz w:val="24"/>
          <w:szCs w:val="24"/>
        </w:rPr>
        <w:t xml:space="preserve"> </w:t>
      </w:r>
      <w:r w:rsidR="00F204E1">
        <w:rPr>
          <w:sz w:val="24"/>
          <w:szCs w:val="24"/>
        </w:rPr>
        <w:t xml:space="preserve">issuing a </w:t>
      </w:r>
      <w:r w:rsidR="00F848A5">
        <w:rPr>
          <w:sz w:val="24"/>
          <w:szCs w:val="24"/>
        </w:rPr>
        <w:t>decree</w:t>
      </w:r>
      <w:r w:rsidR="00F204E1">
        <w:rPr>
          <w:sz w:val="24"/>
          <w:szCs w:val="24"/>
        </w:rPr>
        <w:t xml:space="preserve"> to </w:t>
      </w:r>
      <w:r w:rsidR="00F848A5">
        <w:rPr>
          <w:sz w:val="24"/>
          <w:szCs w:val="24"/>
        </w:rPr>
        <w:t xml:space="preserve">clearly allow, </w:t>
      </w:r>
      <w:r w:rsidR="00F204E1">
        <w:rPr>
          <w:sz w:val="24"/>
          <w:szCs w:val="24"/>
        </w:rPr>
        <w:t xml:space="preserve">regulate and </w:t>
      </w:r>
      <w:r w:rsidR="004127E4">
        <w:rPr>
          <w:sz w:val="24"/>
          <w:szCs w:val="24"/>
        </w:rPr>
        <w:t xml:space="preserve">implement </w:t>
      </w:r>
      <w:r w:rsidR="00301204">
        <w:rPr>
          <w:sz w:val="24"/>
          <w:szCs w:val="24"/>
        </w:rPr>
        <w:t xml:space="preserve">cash pooling </w:t>
      </w:r>
      <w:r w:rsidR="00F848A5">
        <w:rPr>
          <w:sz w:val="24"/>
          <w:szCs w:val="24"/>
        </w:rPr>
        <w:t>between the companies in a group without the profit purpose</w:t>
      </w:r>
      <w:r w:rsidR="004127E4">
        <w:rPr>
          <w:sz w:val="24"/>
          <w:szCs w:val="24"/>
        </w:rPr>
        <w:t>.</w:t>
      </w:r>
    </w:p>
    <w:sectPr w:rsidR="007E7E9B" w:rsidRPr="00200231" w:rsidSect="00966EEC">
      <w:headerReference w:type="default" r:id="rId11"/>
      <w:footerReference w:type="default" r:id="rId12"/>
      <w:headerReference w:type="first" r:id="rId13"/>
      <w:footerReference w:type="first" r:id="rId14"/>
      <w:pgSz w:w="11907" w:h="16839" w:code="9"/>
      <w:pgMar w:top="1123" w:right="1138" w:bottom="1138"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7D" w:rsidRPr="00920631" w:rsidRDefault="0015667D" w:rsidP="001E7139">
      <w:r w:rsidRPr="00920631">
        <w:separator/>
      </w:r>
    </w:p>
  </w:endnote>
  <w:endnote w:type="continuationSeparator" w:id="0">
    <w:p w:rsidR="0015667D" w:rsidRPr="00920631" w:rsidRDefault="0015667D"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902485797"/>
      <w:docPartObj>
        <w:docPartGallery w:val="Page Numbers (Bottom of Page)"/>
        <w:docPartUnique/>
      </w:docPartObj>
    </w:sdtPr>
    <w:sdtEndPr/>
    <w:sdtContent>
      <w:sdt>
        <w:sdtPr>
          <w:rPr>
            <w:i/>
            <w:sz w:val="20"/>
            <w:szCs w:val="20"/>
          </w:rPr>
          <w:id w:val="1728636285"/>
          <w:docPartObj>
            <w:docPartGallery w:val="Page Numbers (Top of Page)"/>
            <w:docPartUnique/>
          </w:docPartObj>
        </w:sdtPr>
        <w:sdtEndPr/>
        <w:sdtContent>
          <w:p w:rsidR="00726617" w:rsidRPr="00726617" w:rsidRDefault="00726617">
            <w:pPr>
              <w:pStyle w:val="Footer"/>
              <w:jc w:val="center"/>
              <w:rPr>
                <w:i/>
                <w:sz w:val="20"/>
                <w:szCs w:val="20"/>
              </w:rPr>
            </w:pPr>
            <w:r w:rsidRPr="00726617">
              <w:rPr>
                <w:i/>
                <w:sz w:val="20"/>
                <w:szCs w:val="20"/>
              </w:rPr>
              <w:t xml:space="preserve">Page </w:t>
            </w:r>
            <w:r w:rsidRPr="00726617">
              <w:rPr>
                <w:bCs/>
                <w:i/>
                <w:sz w:val="20"/>
                <w:szCs w:val="20"/>
              </w:rPr>
              <w:fldChar w:fldCharType="begin"/>
            </w:r>
            <w:r w:rsidRPr="00726617">
              <w:rPr>
                <w:bCs/>
                <w:i/>
                <w:sz w:val="20"/>
                <w:szCs w:val="20"/>
              </w:rPr>
              <w:instrText xml:space="preserve"> PAGE </w:instrText>
            </w:r>
            <w:r w:rsidRPr="00726617">
              <w:rPr>
                <w:bCs/>
                <w:i/>
                <w:sz w:val="20"/>
                <w:szCs w:val="20"/>
              </w:rPr>
              <w:fldChar w:fldCharType="separate"/>
            </w:r>
            <w:r w:rsidR="00966EEC">
              <w:rPr>
                <w:bCs/>
                <w:i/>
                <w:noProof/>
                <w:sz w:val="20"/>
                <w:szCs w:val="20"/>
              </w:rPr>
              <w:t>3</w:t>
            </w:r>
            <w:r w:rsidRPr="00726617">
              <w:rPr>
                <w:bCs/>
                <w:i/>
                <w:sz w:val="20"/>
                <w:szCs w:val="20"/>
              </w:rPr>
              <w:fldChar w:fldCharType="end"/>
            </w:r>
            <w:r w:rsidRPr="00726617">
              <w:rPr>
                <w:i/>
                <w:sz w:val="20"/>
                <w:szCs w:val="20"/>
              </w:rPr>
              <w:t xml:space="preserve"> of </w:t>
            </w:r>
            <w:r w:rsidRPr="00726617">
              <w:rPr>
                <w:bCs/>
                <w:i/>
                <w:sz w:val="20"/>
                <w:szCs w:val="20"/>
              </w:rPr>
              <w:fldChar w:fldCharType="begin"/>
            </w:r>
            <w:r w:rsidRPr="00726617">
              <w:rPr>
                <w:bCs/>
                <w:i/>
                <w:sz w:val="20"/>
                <w:szCs w:val="20"/>
              </w:rPr>
              <w:instrText xml:space="preserve"> NUMPAGES  </w:instrText>
            </w:r>
            <w:r w:rsidRPr="00726617">
              <w:rPr>
                <w:bCs/>
                <w:i/>
                <w:sz w:val="20"/>
                <w:szCs w:val="20"/>
              </w:rPr>
              <w:fldChar w:fldCharType="separate"/>
            </w:r>
            <w:r w:rsidR="00966EEC">
              <w:rPr>
                <w:bCs/>
                <w:i/>
                <w:noProof/>
                <w:sz w:val="20"/>
                <w:szCs w:val="20"/>
              </w:rPr>
              <w:t>3</w:t>
            </w:r>
            <w:r w:rsidRPr="00726617">
              <w:rPr>
                <w:bCs/>
                <w:i/>
                <w:sz w:val="20"/>
                <w:szCs w:val="20"/>
              </w:rPr>
              <w:fldChar w:fldCharType="end"/>
            </w:r>
          </w:p>
        </w:sdtContent>
      </w:sdt>
    </w:sdtContent>
  </w:sdt>
  <w:p w:rsidR="0061772E" w:rsidRPr="00726617" w:rsidRDefault="00966EEC" w:rsidP="008C14D4">
    <w:pPr>
      <w:pStyle w:val="AONormal8L"/>
      <w:rPr>
        <w:rFonts w:ascii="Times New Roman" w:hAnsi="Times New Roman" w:cs="Times New Roman"/>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190"/>
      <w:gridCol w:w="3192"/>
      <w:gridCol w:w="3192"/>
    </w:tblGrid>
    <w:tr w:rsidR="005D5CB3" w:rsidTr="005D5CB3">
      <w:tc>
        <w:tcPr>
          <w:tcW w:w="5000" w:type="pct"/>
          <w:gridSpan w:val="3"/>
          <w:tcMar>
            <w:top w:w="170" w:type="dxa"/>
          </w:tcMar>
        </w:tcPr>
        <w:p w:rsidR="005D5CB3" w:rsidRDefault="00966EEC" w:rsidP="005D5CB3">
          <w:pPr>
            <w:pStyle w:val="AONormal8LBold"/>
          </w:pPr>
          <w:r>
            <w:fldChar w:fldCharType="begin"/>
          </w:r>
          <w:r>
            <w:instrText xml:space="preserve"> DOCPROPERTY  cpFooterText </w:instrText>
          </w:r>
          <w:r>
            <w:fldChar w:fldCharType="separate"/>
          </w:r>
          <w:r>
            <w:t xml:space="preserve"> </w:t>
          </w:r>
          <w:r>
            <w:fldChar w:fldCharType="end"/>
          </w:r>
        </w:p>
      </w:tc>
    </w:tr>
    <w:tr w:rsidR="005D5CB3" w:rsidTr="005D5CB3">
      <w:tc>
        <w:tcPr>
          <w:tcW w:w="1666" w:type="pct"/>
        </w:tcPr>
        <w:p w:rsidR="005D5CB3" w:rsidRDefault="00966EEC" w:rsidP="005D5CB3">
          <w:pPr>
            <w:pStyle w:val="AONormal8L"/>
          </w:pPr>
          <w:r>
            <w:fldChar w:fldCharType="begin"/>
          </w:r>
          <w:r>
            <w:instrText xml:space="preserve"> DOCPROPERTY  cpCombinedRef </w:instrText>
          </w:r>
          <w:r>
            <w:fldChar w:fldCharType="separate"/>
          </w:r>
          <w:r>
            <w:t>PERSONAL-QUACHTU VN:1770865.2</w:t>
          </w:r>
          <w:r>
            <w:fldChar w:fldCharType="end"/>
          </w:r>
        </w:p>
      </w:tc>
      <w:tc>
        <w:tcPr>
          <w:tcW w:w="1667" w:type="pct"/>
        </w:tcPr>
        <w:p w:rsidR="005D5CB3" w:rsidRDefault="005D5CB3"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5D5CB3" w:rsidRDefault="005D5CB3" w:rsidP="005D5CB3">
          <w:pPr>
            <w:pStyle w:val="AONormal8R"/>
          </w:pPr>
        </w:p>
      </w:tc>
    </w:tr>
  </w:tbl>
  <w:p w:rsidR="005D5CB3" w:rsidRDefault="005D5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7D" w:rsidRPr="00920631" w:rsidRDefault="0015667D" w:rsidP="001E7139">
      <w:r w:rsidRPr="00920631">
        <w:separator/>
      </w:r>
    </w:p>
  </w:footnote>
  <w:footnote w:type="continuationSeparator" w:id="0">
    <w:p w:rsidR="0015667D" w:rsidRPr="00920631" w:rsidRDefault="0015667D" w:rsidP="001E7139">
      <w:r w:rsidRPr="00920631">
        <w:continuationSeparator/>
      </w:r>
    </w:p>
  </w:footnote>
  <w:footnote w:id="1">
    <w:p w:rsidR="00F676B5" w:rsidRPr="00BB289A" w:rsidRDefault="00F676B5" w:rsidP="00BB289A">
      <w:pPr>
        <w:pStyle w:val="FootnoteText"/>
        <w:ind w:left="360" w:hanging="360"/>
        <w:rPr>
          <w:sz w:val="18"/>
          <w:szCs w:val="18"/>
        </w:rPr>
      </w:pPr>
      <w:r w:rsidRPr="00BB289A">
        <w:rPr>
          <w:rStyle w:val="FootnoteReference"/>
          <w:sz w:val="18"/>
          <w:szCs w:val="18"/>
        </w:rPr>
        <w:footnoteRef/>
      </w:r>
      <w:r w:rsidRPr="00BB289A">
        <w:rPr>
          <w:sz w:val="18"/>
          <w:szCs w:val="18"/>
        </w:rPr>
        <w:t xml:space="preserve"> </w:t>
      </w:r>
      <w:r w:rsidRPr="00BB289A">
        <w:rPr>
          <w:sz w:val="18"/>
          <w:szCs w:val="18"/>
        </w:rPr>
        <w:tab/>
      </w:r>
      <w:r w:rsidRPr="00BB289A">
        <w:rPr>
          <w:i/>
          <w:sz w:val="18"/>
          <w:szCs w:val="18"/>
        </w:rPr>
        <w:t xml:space="preserve">Susan Hillman (2011) “ Notional vs. Physical Cash Pooling Revisited’, International Treasurer assessable at: </w:t>
      </w:r>
      <w:hyperlink r:id="rId1" w:history="1">
        <w:r w:rsidRPr="00BB289A">
          <w:rPr>
            <w:rStyle w:val="Hyperlink"/>
            <w:i/>
            <w:sz w:val="18"/>
            <w:szCs w:val="18"/>
          </w:rPr>
          <w:t>http://www.treasuryalliance.com/assets/publications/cash/Treasury_Alliance_Notional_Physical_Pooling_Revisited.pdf</w:t>
        </w:r>
      </w:hyperlink>
      <w:r w:rsidRPr="00BB289A">
        <w:rPr>
          <w:i/>
          <w:sz w:val="18"/>
          <w:szCs w:val="18"/>
        </w:rPr>
        <w:t xml:space="preserve"> (assessed on 3 November 2017)</w:t>
      </w:r>
    </w:p>
  </w:footnote>
  <w:footnote w:id="2">
    <w:p w:rsidR="00F76432" w:rsidRPr="00BB289A" w:rsidRDefault="00F76432" w:rsidP="009E04C1">
      <w:pPr>
        <w:pStyle w:val="FootnoteText"/>
        <w:ind w:left="284" w:hanging="284"/>
        <w:rPr>
          <w:b/>
          <w:i/>
          <w:sz w:val="18"/>
          <w:szCs w:val="18"/>
          <w:lang w:val="en-US"/>
        </w:rPr>
      </w:pPr>
      <w:r w:rsidRPr="00BB289A">
        <w:rPr>
          <w:rStyle w:val="FootnoteReference"/>
          <w:i/>
          <w:sz w:val="18"/>
          <w:szCs w:val="18"/>
        </w:rPr>
        <w:footnoteRef/>
      </w:r>
      <w:r w:rsidRPr="00BB289A">
        <w:rPr>
          <w:i/>
          <w:sz w:val="18"/>
          <w:szCs w:val="18"/>
        </w:rPr>
        <w:t xml:space="preserve"> </w:t>
      </w:r>
      <w:r w:rsidRPr="00BB289A">
        <w:rPr>
          <w:i/>
          <w:sz w:val="18"/>
          <w:szCs w:val="18"/>
          <w:lang w:val="en-US"/>
        </w:rPr>
        <w:tab/>
        <w:t>Article 160.2 of Civil Code no 91/2015/QH13 passed by the National Assembly on 24 November 2015</w:t>
      </w:r>
      <w:r w:rsidR="00751806" w:rsidRPr="00BB289A">
        <w:rPr>
          <w:i/>
          <w:sz w:val="18"/>
          <w:szCs w:val="18"/>
          <w:lang w:val="en-US"/>
        </w:rPr>
        <w:t xml:space="preserve"> (</w:t>
      </w:r>
      <w:r w:rsidR="00751806" w:rsidRPr="00BB289A">
        <w:rPr>
          <w:b/>
          <w:i/>
          <w:sz w:val="18"/>
          <w:szCs w:val="18"/>
          <w:lang w:val="en-US"/>
        </w:rPr>
        <w:t>Civil Code 2015</w:t>
      </w:r>
      <w:r w:rsidR="00751806" w:rsidRPr="00BB289A">
        <w:rPr>
          <w:i/>
          <w:sz w:val="18"/>
          <w:szCs w:val="18"/>
          <w:lang w:val="en-US"/>
        </w:rPr>
        <w:t>)</w:t>
      </w:r>
    </w:p>
  </w:footnote>
  <w:footnote w:id="3">
    <w:p w:rsidR="00751806" w:rsidRPr="00BB289A" w:rsidRDefault="00751806">
      <w:pPr>
        <w:pStyle w:val="FootnoteText"/>
        <w:rPr>
          <w:i/>
          <w:sz w:val="18"/>
          <w:szCs w:val="18"/>
          <w:lang w:val="en-US"/>
        </w:rPr>
      </w:pPr>
      <w:r w:rsidRPr="00BB289A">
        <w:rPr>
          <w:rStyle w:val="FootnoteReference"/>
          <w:i/>
          <w:sz w:val="18"/>
          <w:szCs w:val="18"/>
        </w:rPr>
        <w:footnoteRef/>
      </w:r>
      <w:r w:rsidRPr="00BB289A">
        <w:rPr>
          <w:i/>
          <w:sz w:val="18"/>
          <w:szCs w:val="18"/>
        </w:rPr>
        <w:t xml:space="preserve"> </w:t>
      </w:r>
      <w:r w:rsidRPr="00BB289A">
        <w:rPr>
          <w:i/>
          <w:sz w:val="18"/>
          <w:szCs w:val="18"/>
          <w:lang w:val="en-US"/>
        </w:rPr>
        <w:tab/>
        <w:t>The balance in accounts of entities falls within the definition of assets under Article 105 of Civil Code 2015</w:t>
      </w:r>
    </w:p>
  </w:footnote>
  <w:footnote w:id="4">
    <w:p w:rsidR="007B0DFD" w:rsidRPr="00BB289A" w:rsidRDefault="007B0DFD">
      <w:pPr>
        <w:pStyle w:val="FootnoteText"/>
        <w:rPr>
          <w:i/>
          <w:sz w:val="18"/>
          <w:szCs w:val="18"/>
        </w:rPr>
      </w:pPr>
      <w:r w:rsidRPr="00BB289A">
        <w:rPr>
          <w:rStyle w:val="FootnoteReference"/>
          <w:i/>
          <w:sz w:val="18"/>
          <w:szCs w:val="18"/>
        </w:rPr>
        <w:footnoteRef/>
      </w:r>
      <w:r w:rsidRPr="00BB289A">
        <w:rPr>
          <w:i/>
          <w:sz w:val="18"/>
          <w:szCs w:val="18"/>
        </w:rPr>
        <w:t xml:space="preserve"> </w:t>
      </w:r>
      <w:r w:rsidRPr="00BB289A">
        <w:rPr>
          <w:i/>
          <w:sz w:val="18"/>
          <w:szCs w:val="18"/>
        </w:rPr>
        <w:tab/>
        <w:t>Article 5.8(b) of</w:t>
      </w:r>
      <w:r w:rsidR="00E96E8C" w:rsidRPr="00BB289A">
        <w:rPr>
          <w:i/>
          <w:sz w:val="18"/>
          <w:szCs w:val="18"/>
        </w:rPr>
        <w:t xml:space="preserve"> Consolidated paper no. 01/VBHN-VPQH of</w:t>
      </w:r>
      <w:r w:rsidRPr="00BB289A">
        <w:rPr>
          <w:i/>
          <w:sz w:val="18"/>
          <w:szCs w:val="18"/>
        </w:rPr>
        <w:t xml:space="preserve"> Law value-added tax </w:t>
      </w:r>
      <w:r w:rsidR="00E96E8C" w:rsidRPr="00BB289A">
        <w:rPr>
          <w:i/>
          <w:sz w:val="18"/>
          <w:szCs w:val="18"/>
        </w:rPr>
        <w:t>issued by the Office of National Assembly dated 28 April 2016</w:t>
      </w:r>
      <w:r w:rsidR="00D54A2C" w:rsidRPr="00BB289A">
        <w:rPr>
          <w:i/>
          <w:sz w:val="18"/>
          <w:szCs w:val="18"/>
        </w:rPr>
        <w:t xml:space="preserve"> (</w:t>
      </w:r>
      <w:r w:rsidR="00D54A2C" w:rsidRPr="00BB289A">
        <w:rPr>
          <w:b/>
          <w:i/>
          <w:sz w:val="18"/>
          <w:szCs w:val="18"/>
        </w:rPr>
        <w:t>VAT Law</w:t>
      </w:r>
      <w:r w:rsidR="00D54A2C" w:rsidRPr="00BB289A">
        <w:rPr>
          <w:i/>
          <w:sz w:val="18"/>
          <w:szCs w:val="18"/>
        </w:rPr>
        <w:t>)</w:t>
      </w:r>
    </w:p>
  </w:footnote>
  <w:footnote w:id="5">
    <w:p w:rsidR="00E96E8C" w:rsidRPr="00BB289A" w:rsidRDefault="00E96E8C">
      <w:pPr>
        <w:pStyle w:val="FootnoteText"/>
        <w:rPr>
          <w:i/>
          <w:sz w:val="18"/>
          <w:szCs w:val="18"/>
        </w:rPr>
      </w:pPr>
      <w:r w:rsidRPr="00BB289A">
        <w:rPr>
          <w:rStyle w:val="FootnoteReference"/>
          <w:i/>
          <w:sz w:val="18"/>
          <w:szCs w:val="18"/>
        </w:rPr>
        <w:footnoteRef/>
      </w:r>
      <w:r w:rsidRPr="00BB289A">
        <w:rPr>
          <w:i/>
          <w:sz w:val="18"/>
          <w:szCs w:val="18"/>
        </w:rPr>
        <w:t xml:space="preserve"> </w:t>
      </w:r>
      <w:r w:rsidRPr="00BB289A">
        <w:rPr>
          <w:i/>
          <w:sz w:val="18"/>
          <w:szCs w:val="18"/>
        </w:rPr>
        <w:tab/>
        <w:t>Article 4.8(b) of Consolidated paper no. 13/VBHN-BTC</w:t>
      </w:r>
      <w:r w:rsidR="009C5A0A" w:rsidRPr="00BB289A">
        <w:rPr>
          <w:i/>
          <w:sz w:val="18"/>
          <w:szCs w:val="18"/>
        </w:rPr>
        <w:t xml:space="preserve"> </w:t>
      </w:r>
      <w:r w:rsidRPr="00BB289A">
        <w:rPr>
          <w:i/>
          <w:sz w:val="18"/>
          <w:szCs w:val="18"/>
        </w:rPr>
        <w:t xml:space="preserve">Circular </w:t>
      </w:r>
      <w:r w:rsidR="009C5A0A" w:rsidRPr="00BB289A">
        <w:rPr>
          <w:i/>
          <w:sz w:val="18"/>
          <w:szCs w:val="18"/>
        </w:rPr>
        <w:t>guiding the implementation of law on value-added tax and Decree no. 209/2013/ND-CP issued by the Government on the detailed regulation and guidance on the implementation of law on value-added tax dated 15 May 2017 issued by Ministry of Finance</w:t>
      </w:r>
    </w:p>
  </w:footnote>
  <w:footnote w:id="6">
    <w:p w:rsidR="00E41450" w:rsidRPr="00BB289A" w:rsidRDefault="00E41450">
      <w:pPr>
        <w:pStyle w:val="FootnoteText"/>
        <w:rPr>
          <w:i/>
          <w:sz w:val="18"/>
          <w:szCs w:val="18"/>
          <w:lang w:val="en-US"/>
        </w:rPr>
      </w:pPr>
      <w:r w:rsidRPr="00BB289A">
        <w:rPr>
          <w:rStyle w:val="FootnoteReference"/>
          <w:i/>
          <w:sz w:val="18"/>
          <w:szCs w:val="18"/>
        </w:rPr>
        <w:footnoteRef/>
      </w:r>
      <w:r w:rsidRPr="00BB289A">
        <w:rPr>
          <w:i/>
          <w:sz w:val="18"/>
          <w:szCs w:val="18"/>
        </w:rPr>
        <w:t xml:space="preserve"> </w:t>
      </w:r>
      <w:r w:rsidRPr="00BB289A">
        <w:rPr>
          <w:i/>
          <w:sz w:val="18"/>
          <w:szCs w:val="18"/>
          <w:lang w:val="en-US"/>
        </w:rPr>
        <w:tab/>
        <w:t xml:space="preserve">Article 6 of Finance Management Procedure attached to Decree no. 10/2017/ND-CP on the issuance of finance management procedure of Vietnam Electricity and amendment, supplement of Article 4.4 of Decree no. 209/2013/ND-CP dated </w:t>
      </w:r>
      <w:r w:rsidR="0086283C" w:rsidRPr="00BB289A">
        <w:rPr>
          <w:i/>
          <w:sz w:val="18"/>
          <w:szCs w:val="18"/>
          <w:lang w:val="en-US"/>
        </w:rPr>
        <w:t>9 February 2017</w:t>
      </w:r>
      <w:r w:rsidRPr="00BB289A">
        <w:rPr>
          <w:i/>
          <w:sz w:val="18"/>
          <w:szCs w:val="18"/>
          <w:lang w:val="en-US"/>
        </w:rPr>
        <w:t xml:space="preserve"> issued by the Government</w:t>
      </w:r>
    </w:p>
  </w:footnote>
  <w:footnote w:id="7">
    <w:p w:rsidR="00E41450" w:rsidRPr="00E41450" w:rsidRDefault="00E41450">
      <w:pPr>
        <w:pStyle w:val="FootnoteText"/>
        <w:rPr>
          <w:lang w:val="en-US"/>
        </w:rPr>
      </w:pPr>
      <w:r w:rsidRPr="00BB289A">
        <w:rPr>
          <w:rStyle w:val="FootnoteReference"/>
          <w:i/>
          <w:sz w:val="18"/>
          <w:szCs w:val="18"/>
        </w:rPr>
        <w:footnoteRef/>
      </w:r>
      <w:r w:rsidRPr="00BB289A">
        <w:rPr>
          <w:i/>
          <w:sz w:val="18"/>
          <w:szCs w:val="18"/>
        </w:rPr>
        <w:t xml:space="preserve"> </w:t>
      </w:r>
      <w:r w:rsidRPr="00BB289A">
        <w:rPr>
          <w:i/>
          <w:sz w:val="18"/>
          <w:szCs w:val="18"/>
          <w:lang w:val="en-US"/>
        </w:rPr>
        <w:tab/>
        <w:t>Article 6 of Finance Management Procedure attached to Decree no. 06/2015/ND-CP on the issuance of finance management procedure of the parent company of Vietnam National Petrol and Oil Group dated 13 January 2015 issued by the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574"/>
    </w:tblGrid>
    <w:tr w:rsidR="0045533C" w:rsidRPr="00920631" w:rsidTr="00966EEC">
      <w:trPr>
        <w:trHeight w:val="360"/>
      </w:trPr>
      <w:tc>
        <w:tcPr>
          <w:tcW w:w="5000" w:type="pct"/>
        </w:tcPr>
        <w:p w:rsidR="0045533C" w:rsidRPr="00BB289A" w:rsidRDefault="00A83188" w:rsidP="00BB289A">
          <w:pPr>
            <w:pBdr>
              <w:bottom w:val="single" w:sz="6" w:space="1" w:color="auto"/>
            </w:pBdr>
            <w:shd w:val="clear" w:color="auto" w:fill="FFFFFF"/>
            <w:jc w:val="both"/>
            <w:rPr>
              <w:rFonts w:eastAsia="Times New Roman"/>
              <w:i/>
              <w:color w:val="222222"/>
              <w:sz w:val="20"/>
              <w:szCs w:val="20"/>
            </w:rPr>
          </w:pPr>
          <w:r>
            <w:rPr>
              <w:rFonts w:eastAsia="Times New Roman"/>
              <w:i/>
              <w:color w:val="222222"/>
              <w:sz w:val="20"/>
              <w:szCs w:val="20"/>
            </w:rPr>
            <w:t xml:space="preserve">Annex 1 - BWG                          </w:t>
          </w:r>
          <w:r w:rsidR="00BB289A">
            <w:rPr>
              <w:rFonts w:eastAsia="Times New Roman"/>
              <w:i/>
              <w:color w:val="222222"/>
              <w:sz w:val="20"/>
              <w:szCs w:val="20"/>
            </w:rPr>
            <w:t xml:space="preserve">                                                                  </w:t>
          </w:r>
          <w:r w:rsidR="00966EEC">
            <w:rPr>
              <w:rFonts w:eastAsia="Times New Roman"/>
              <w:i/>
              <w:color w:val="222222"/>
              <w:sz w:val="20"/>
              <w:szCs w:val="20"/>
            </w:rPr>
            <w:t xml:space="preserve">      </w:t>
          </w:r>
          <w:r>
            <w:rPr>
              <w:rFonts w:eastAsia="Times New Roman"/>
              <w:i/>
              <w:color w:val="222222"/>
              <w:sz w:val="20"/>
              <w:szCs w:val="20"/>
            </w:rPr>
            <w:t xml:space="preserve"> </w:t>
          </w:r>
          <w:r w:rsidR="00BB289A">
            <w:rPr>
              <w:rFonts w:eastAsia="Times New Roman"/>
              <w:i/>
              <w:color w:val="222222"/>
              <w:sz w:val="20"/>
              <w:szCs w:val="20"/>
            </w:rPr>
            <w:t>Annual</w:t>
          </w:r>
          <w:r>
            <w:rPr>
              <w:rFonts w:eastAsia="Times New Roman"/>
              <w:i/>
              <w:color w:val="222222"/>
              <w:sz w:val="20"/>
              <w:szCs w:val="20"/>
            </w:rPr>
            <w:t xml:space="preserve"> Vietnam Business Forum</w:t>
          </w:r>
          <w:r w:rsidR="00BB289A">
            <w:rPr>
              <w:rFonts w:eastAsia="Times New Roman"/>
              <w:i/>
              <w:color w:val="222222"/>
              <w:sz w:val="20"/>
              <w:szCs w:val="20"/>
            </w:rPr>
            <w:t>, 2017</w:t>
          </w:r>
        </w:p>
      </w:tc>
    </w:tr>
  </w:tbl>
  <w:p w:rsidR="0061772E" w:rsidRPr="00966EEC" w:rsidRDefault="00966EEC" w:rsidP="00966EEC">
    <w:pPr>
      <w:pStyle w:val="AONormal8L"/>
      <w:spacing w:line="240" w:lineRule="aut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574"/>
    </w:tblGrid>
    <w:tr w:rsidR="005D5CB3" w:rsidTr="005D5CB3">
      <w:tc>
        <w:tcPr>
          <w:tcW w:w="9854" w:type="dxa"/>
        </w:tcPr>
        <w:bookmarkStart w:id="1" w:name="bmkHeaderPrimaryDoc"/>
        <w:p w:rsidR="005D5CB3" w:rsidRDefault="005D5CB3" w:rsidP="005D5CB3">
          <w:pPr>
            <w:pStyle w:val="AONormal8LBold"/>
          </w:pPr>
          <w:r>
            <w:fldChar w:fldCharType="begin"/>
          </w:r>
          <w:r>
            <w:instrText xml:space="preserve"> DOCPROPERTY  cpHeaderText </w:instrText>
          </w:r>
          <w:r>
            <w:fldChar w:fldCharType="separate"/>
          </w:r>
          <w:r w:rsidR="00966EEC">
            <w:t xml:space="preserve"> </w:t>
          </w:r>
          <w:r>
            <w:fldChar w:fldCharType="end"/>
          </w:r>
        </w:p>
      </w:tc>
    </w:tr>
    <w:bookmarkEnd w:id="1"/>
  </w:tbl>
  <w:p w:rsidR="005D5CB3" w:rsidRDefault="005D5CB3" w:rsidP="005D5CB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3">
    <w:nsid w:val="274E15DE"/>
    <w:multiLevelType w:val="hybridMultilevel"/>
    <w:tmpl w:val="29C2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5">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9">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8">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7"/>
  </w:num>
  <w:num w:numId="6">
    <w:abstractNumId w:val="9"/>
  </w:num>
  <w:num w:numId="7">
    <w:abstractNumId w:val="16"/>
  </w:num>
  <w:num w:numId="8">
    <w:abstractNumId w:val="0"/>
  </w:num>
  <w:num w:numId="9">
    <w:abstractNumId w:val="10"/>
  </w:num>
  <w:num w:numId="10">
    <w:abstractNumId w:val="6"/>
  </w:num>
  <w:num w:numId="11">
    <w:abstractNumId w:val="4"/>
  </w:num>
  <w:num w:numId="12">
    <w:abstractNumId w:val="2"/>
  </w:num>
  <w:num w:numId="13">
    <w:abstractNumId w:val="17"/>
  </w:num>
  <w:num w:numId="14">
    <w:abstractNumId w:val="8"/>
  </w:num>
  <w:num w:numId="15">
    <w:abstractNumId w:val="13"/>
  </w:num>
  <w:num w:numId="16">
    <w:abstractNumId w:val="5"/>
  </w:num>
  <w:num w:numId="17">
    <w:abstractNumId w:val="15"/>
  </w:num>
  <w:num w:numId="18">
    <w:abstractNumId w:val="1"/>
  </w:num>
  <w:num w:numId="19">
    <w:abstractNumId w:val="3"/>
  </w:num>
  <w:num w:numId="20">
    <w:abstractNumId w:val="12"/>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7D"/>
    <w:rsid w:val="00000A60"/>
    <w:rsid w:val="00004D1D"/>
    <w:rsid w:val="00034A6B"/>
    <w:rsid w:val="00035DF9"/>
    <w:rsid w:val="000520A8"/>
    <w:rsid w:val="00083181"/>
    <w:rsid w:val="000B0E94"/>
    <w:rsid w:val="000C5E16"/>
    <w:rsid w:val="000D0702"/>
    <w:rsid w:val="000F766E"/>
    <w:rsid w:val="00136370"/>
    <w:rsid w:val="0015667D"/>
    <w:rsid w:val="00164573"/>
    <w:rsid w:val="00172184"/>
    <w:rsid w:val="00173A3C"/>
    <w:rsid w:val="001837F3"/>
    <w:rsid w:val="001E7139"/>
    <w:rsid w:val="001E79DF"/>
    <w:rsid w:val="001F73F1"/>
    <w:rsid w:val="00200231"/>
    <w:rsid w:val="00207F8C"/>
    <w:rsid w:val="0021178A"/>
    <w:rsid w:val="00220F07"/>
    <w:rsid w:val="00233F2F"/>
    <w:rsid w:val="00244F4C"/>
    <w:rsid w:val="00246107"/>
    <w:rsid w:val="00251D49"/>
    <w:rsid w:val="00253CBB"/>
    <w:rsid w:val="00274107"/>
    <w:rsid w:val="0028067B"/>
    <w:rsid w:val="002A01D2"/>
    <w:rsid w:val="002B7572"/>
    <w:rsid w:val="002D73D0"/>
    <w:rsid w:val="002E0DDE"/>
    <w:rsid w:val="00301204"/>
    <w:rsid w:val="00310C51"/>
    <w:rsid w:val="003157CC"/>
    <w:rsid w:val="00375A6D"/>
    <w:rsid w:val="003813A3"/>
    <w:rsid w:val="00387F2E"/>
    <w:rsid w:val="003C7C38"/>
    <w:rsid w:val="003D094E"/>
    <w:rsid w:val="003D734A"/>
    <w:rsid w:val="003F0957"/>
    <w:rsid w:val="004127E4"/>
    <w:rsid w:val="004213DE"/>
    <w:rsid w:val="00432A6C"/>
    <w:rsid w:val="00440AD2"/>
    <w:rsid w:val="00440C96"/>
    <w:rsid w:val="0045533C"/>
    <w:rsid w:val="00463113"/>
    <w:rsid w:val="0046358F"/>
    <w:rsid w:val="0047162F"/>
    <w:rsid w:val="00474756"/>
    <w:rsid w:val="004A6489"/>
    <w:rsid w:val="004B1A66"/>
    <w:rsid w:val="004B39A3"/>
    <w:rsid w:val="004C587E"/>
    <w:rsid w:val="00502621"/>
    <w:rsid w:val="005C595A"/>
    <w:rsid w:val="005D16AE"/>
    <w:rsid w:val="005D5CB3"/>
    <w:rsid w:val="005E5E8C"/>
    <w:rsid w:val="005F7D5A"/>
    <w:rsid w:val="00612300"/>
    <w:rsid w:val="00624BE1"/>
    <w:rsid w:val="00630AD0"/>
    <w:rsid w:val="0064465A"/>
    <w:rsid w:val="006541E1"/>
    <w:rsid w:val="0068599B"/>
    <w:rsid w:val="006A5AA0"/>
    <w:rsid w:val="006C6D54"/>
    <w:rsid w:val="006F4DD9"/>
    <w:rsid w:val="007019B8"/>
    <w:rsid w:val="00726617"/>
    <w:rsid w:val="00730573"/>
    <w:rsid w:val="00751806"/>
    <w:rsid w:val="00753260"/>
    <w:rsid w:val="00782AD5"/>
    <w:rsid w:val="007B0DFD"/>
    <w:rsid w:val="007C63AF"/>
    <w:rsid w:val="007D46D4"/>
    <w:rsid w:val="007D75EC"/>
    <w:rsid w:val="007E7E9B"/>
    <w:rsid w:val="00814EF6"/>
    <w:rsid w:val="00822A1E"/>
    <w:rsid w:val="0086283C"/>
    <w:rsid w:val="00864B73"/>
    <w:rsid w:val="008722A3"/>
    <w:rsid w:val="008C14D4"/>
    <w:rsid w:val="008E0A09"/>
    <w:rsid w:val="008E3424"/>
    <w:rsid w:val="008E3853"/>
    <w:rsid w:val="008F68D8"/>
    <w:rsid w:val="00905FCE"/>
    <w:rsid w:val="00920631"/>
    <w:rsid w:val="00956D5B"/>
    <w:rsid w:val="00960F52"/>
    <w:rsid w:val="00966EEC"/>
    <w:rsid w:val="00980C37"/>
    <w:rsid w:val="009C404F"/>
    <w:rsid w:val="009C5A0A"/>
    <w:rsid w:val="009D0A28"/>
    <w:rsid w:val="009D20EB"/>
    <w:rsid w:val="009E04C1"/>
    <w:rsid w:val="009E0C49"/>
    <w:rsid w:val="00A279B2"/>
    <w:rsid w:val="00A76A73"/>
    <w:rsid w:val="00A80854"/>
    <w:rsid w:val="00A83188"/>
    <w:rsid w:val="00B1321E"/>
    <w:rsid w:val="00B15851"/>
    <w:rsid w:val="00BA6B05"/>
    <w:rsid w:val="00BB07C3"/>
    <w:rsid w:val="00BB289A"/>
    <w:rsid w:val="00BB7754"/>
    <w:rsid w:val="00BC0964"/>
    <w:rsid w:val="00BE2502"/>
    <w:rsid w:val="00BF1C21"/>
    <w:rsid w:val="00C15570"/>
    <w:rsid w:val="00C2524B"/>
    <w:rsid w:val="00C27C6D"/>
    <w:rsid w:val="00C3251D"/>
    <w:rsid w:val="00C365D7"/>
    <w:rsid w:val="00C46506"/>
    <w:rsid w:val="00C67E83"/>
    <w:rsid w:val="00C7127B"/>
    <w:rsid w:val="00CA2C1F"/>
    <w:rsid w:val="00CA6867"/>
    <w:rsid w:val="00CC19DE"/>
    <w:rsid w:val="00CC41B1"/>
    <w:rsid w:val="00CD4EE4"/>
    <w:rsid w:val="00CE0BAB"/>
    <w:rsid w:val="00D03DDB"/>
    <w:rsid w:val="00D060C0"/>
    <w:rsid w:val="00D15D80"/>
    <w:rsid w:val="00D1733B"/>
    <w:rsid w:val="00D54A2C"/>
    <w:rsid w:val="00D60A12"/>
    <w:rsid w:val="00D836DC"/>
    <w:rsid w:val="00DA3882"/>
    <w:rsid w:val="00E05622"/>
    <w:rsid w:val="00E17B23"/>
    <w:rsid w:val="00E30C20"/>
    <w:rsid w:val="00E41450"/>
    <w:rsid w:val="00E62A45"/>
    <w:rsid w:val="00E72D84"/>
    <w:rsid w:val="00E768B3"/>
    <w:rsid w:val="00E81B74"/>
    <w:rsid w:val="00E842CE"/>
    <w:rsid w:val="00E904EB"/>
    <w:rsid w:val="00E9172D"/>
    <w:rsid w:val="00E96E8C"/>
    <w:rsid w:val="00EA5A2B"/>
    <w:rsid w:val="00ED1E76"/>
    <w:rsid w:val="00ED5EF3"/>
    <w:rsid w:val="00EE173C"/>
    <w:rsid w:val="00EF1683"/>
    <w:rsid w:val="00F01CD0"/>
    <w:rsid w:val="00F17DA4"/>
    <w:rsid w:val="00F204E1"/>
    <w:rsid w:val="00F53B14"/>
    <w:rsid w:val="00F553A4"/>
    <w:rsid w:val="00F647A7"/>
    <w:rsid w:val="00F673E3"/>
    <w:rsid w:val="00F676B5"/>
    <w:rsid w:val="00F70721"/>
    <w:rsid w:val="00F76432"/>
    <w:rsid w:val="00F848A5"/>
    <w:rsid w:val="00F93ECA"/>
    <w:rsid w:val="00FC69A1"/>
    <w:rsid w:val="00FD0FDF"/>
    <w:rsid w:val="00FD4C5E"/>
    <w:rsid w:val="00FD4EF2"/>
    <w:rsid w:val="00FE1135"/>
    <w:rsid w:val="00FF7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76432"/>
    <w:rPr>
      <w:vertAlign w:val="superscript"/>
    </w:rPr>
  </w:style>
  <w:style w:type="character" w:styleId="Hyperlink">
    <w:name w:val="Hyperlink"/>
    <w:basedOn w:val="DefaultParagraphFont"/>
    <w:uiPriority w:val="99"/>
    <w:unhideWhenUsed/>
    <w:rsid w:val="00F676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76432"/>
    <w:rPr>
      <w:vertAlign w:val="superscript"/>
    </w:rPr>
  </w:style>
  <w:style w:type="character" w:styleId="Hyperlink">
    <w:name w:val="Hyperlink"/>
    <w:basedOn w:val="DefaultParagraphFont"/>
    <w:uiPriority w:val="99"/>
    <w:unhideWhenUsed/>
    <w:rsid w:val="00F67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reasuryalliance.com/assets/publications/cash/Treasury_Alliance_Notional_Physical_Pooling_Revisit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7-11-06T13-0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BE151D0-00A9-4C42-B94E-BBC1AED3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6</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Dell</cp:lastModifiedBy>
  <cp:revision>7</cp:revision>
  <cp:lastPrinted>2017-12-09T18:33:00Z</cp:lastPrinted>
  <dcterms:created xsi:type="dcterms:W3CDTF">2017-12-09T05:58:00Z</dcterms:created>
  <dcterms:modified xsi:type="dcterms:W3CDTF">2017-12-09T18:33:00Z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0x0101008E1931B9D01341BF82A1BE848E2F0648000D63B21F009B944AA79D7724E168C8DD</vt:lpwstr>
  </property>
  <property fmtid="{D5CDD505-2E9C-101B-9397-08002B2CF9AE}" pid="3" name="DisplayName">
    <vt:lpwstr>Document</vt:lpwstr>
  </property>
  <property fmtid="{D5CDD505-2E9C-101B-9397-08002B2CF9AE}" pid="4" name="DMProfile">
    <vt:lpwstr>Document</vt:lpwstr>
  </property>
  <property fmtid="{D5CDD505-2E9C-101B-9397-08002B2CF9AE}" pid="5" name="FilePedigree">
    <vt:lpwstr>OSAX</vt:lpwstr>
  </property>
  <property fmtid="{D5CDD505-2E9C-101B-9397-08002B2CF9AE}" pid="6" name="TemplateFileName">
    <vt:lpwstr>AODocument.dotm</vt:lpwstr>
  </property>
  <property fmtid="{D5CDD505-2E9C-101B-9397-08002B2CF9AE}" pid="7" name="OSADocumentType">
    <vt:lpwstr>1</vt:lpwstr>
  </property>
  <property fmtid="{D5CDD505-2E9C-101B-9397-08002B2CF9AE}" pid="8" name="AuthorDescription">
    <vt:lpwstr>AO</vt:lpwstr>
  </property>
  <property fmtid="{D5CDD505-2E9C-101B-9397-08002B2CF9AE}" pid="9" name="AuthorName">
    <vt:lpwstr>AO</vt:lpwstr>
  </property>
  <property fmtid="{D5CDD505-2E9C-101B-9397-08002B2CF9AE}" pid="10" name="AuthorInitials">
    <vt:lpwstr/>
  </property>
  <property fmtid="{D5CDD505-2E9C-101B-9397-08002B2CF9AE}" pid="11" name="AuthorJobTitle">
    <vt:lpwstr/>
  </property>
  <property fmtid="{D5CDD505-2E9C-101B-9397-08002B2CF9AE}" pid="12" name="AuthorEmail">
    <vt:lpwstr/>
  </property>
  <property fmtid="{D5CDD505-2E9C-101B-9397-08002B2CF9AE}" pid="13" name="AuthorDirectLine">
    <vt:lpwstr/>
  </property>
  <property fmtid="{D5CDD505-2E9C-101B-9397-08002B2CF9AE}" pid="14" name="AuthorMobilePhone">
    <vt:lpwstr/>
  </property>
  <property fmtid="{D5CDD505-2E9C-101B-9397-08002B2CF9AE}" pid="15" name="AuthorPersonalFax">
    <vt:lpwstr/>
  </property>
  <property fmtid="{D5CDD505-2E9C-101B-9397-08002B2CF9AE}" pid="16" name="OurRef">
    <vt:lpwstr/>
  </property>
  <property fmtid="{D5CDD505-2E9C-101B-9397-08002B2CF9AE}" pid="17" name="LanguageID">
    <vt:lpwstr>English (UK)</vt:lpwstr>
  </property>
  <property fmtid="{D5CDD505-2E9C-101B-9397-08002B2CF9AE}" pid="18" name="OfficeID">
    <vt:lpwstr>Hanoi</vt:lpwstr>
  </property>
  <property fmtid="{D5CDD505-2E9C-101B-9397-08002B2CF9AE}" pid="19" name="TemplateName">
    <vt:lpwstr>AODocument.dotm</vt:lpwstr>
  </property>
  <property fmtid="{D5CDD505-2E9C-101B-9397-08002B2CF9AE}" pid="20" name="cpFooterText">
    <vt:lpwstr> </vt:lpwstr>
  </property>
  <property fmtid="{D5CDD505-2E9C-101B-9397-08002B2CF9AE}" pid="21" name="cpHeaderText">
    <vt:lpwstr> </vt:lpwstr>
  </property>
  <property fmtid="{D5CDD505-2E9C-101B-9397-08002B2CF9AE}" pid="22" name="Client">
    <vt:lpwstr>PERSONAL</vt:lpwstr>
  </property>
  <property fmtid="{D5CDD505-2E9C-101B-9397-08002B2CF9AE}" pid="23" name="Matter">
    <vt:lpwstr>QUACHTU</vt:lpwstr>
  </property>
  <property fmtid="{D5CDD505-2E9C-101B-9397-08002B2CF9AE}" pid="24" name="cpClientMatter">
    <vt:lpwstr>PERSONAL-QUACHTU</vt:lpwstr>
  </property>
  <property fmtid="{D5CDD505-2E9C-101B-9397-08002B2CF9AE}" pid="25" name="cpDocRef">
    <vt:lpwstr>VN:1770865.2</vt:lpwstr>
  </property>
  <property fmtid="{D5CDD505-2E9C-101B-9397-08002B2CF9AE}" pid="26" name="cpCombinedRef">
    <vt:lpwstr>PERSONAL-QUACHTU VN:1770865.2</vt:lpwstr>
  </property>
</Properties>
</file>