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DF" w:rsidRPr="00BF2800" w:rsidRDefault="00A455E9" w:rsidP="00C05A48">
      <w:pPr>
        <w:pStyle w:val="AODocTxt"/>
        <w:spacing w:before="0" w:line="240" w:lineRule="auto"/>
        <w:jc w:val="center"/>
        <w:rPr>
          <w:b/>
          <w:sz w:val="26"/>
          <w:szCs w:val="26"/>
          <w:lang w:val="vi-VN"/>
        </w:rPr>
      </w:pPr>
      <w:r w:rsidRPr="00A455E9">
        <w:rPr>
          <w:b/>
          <w:sz w:val="26"/>
          <w:szCs w:val="26"/>
          <w:u w:val="single"/>
          <w:lang w:val="en-US"/>
        </w:rPr>
        <w:t>PHỤ LỤC 1:</w:t>
      </w:r>
      <w:r>
        <w:rPr>
          <w:b/>
          <w:sz w:val="26"/>
          <w:szCs w:val="26"/>
          <w:lang w:val="en-US"/>
        </w:rPr>
        <w:t xml:space="preserve"> </w:t>
      </w:r>
      <w:r w:rsidR="0000059C" w:rsidRPr="00BF2800">
        <w:rPr>
          <w:b/>
          <w:sz w:val="26"/>
          <w:szCs w:val="26"/>
          <w:lang w:val="vi-VN"/>
        </w:rPr>
        <w:t xml:space="preserve">PHÂN TÍCH PHÁP LÝ VỀ QUẢN LÝ TÀI KHOẢN TẬP TRUNG </w:t>
      </w:r>
    </w:p>
    <w:p w:rsidR="00753260" w:rsidRPr="00BF2800" w:rsidRDefault="0000059C" w:rsidP="00C05A48">
      <w:pPr>
        <w:pStyle w:val="AOHead1"/>
        <w:tabs>
          <w:tab w:val="clear" w:pos="720"/>
        </w:tabs>
        <w:spacing w:line="240" w:lineRule="auto"/>
        <w:ind w:left="360" w:hanging="360"/>
        <w:rPr>
          <w:sz w:val="24"/>
          <w:szCs w:val="24"/>
          <w:lang w:val="vi-VN"/>
        </w:rPr>
      </w:pPr>
      <w:r w:rsidRPr="00BF2800">
        <w:rPr>
          <w:sz w:val="24"/>
          <w:szCs w:val="24"/>
          <w:lang w:val="vi-VN"/>
        </w:rPr>
        <w:t>NỘI DUNG SƠ LƯỢC</w:t>
      </w:r>
    </w:p>
    <w:p w:rsidR="00004D1D" w:rsidRPr="00BF2800" w:rsidRDefault="00334AA1" w:rsidP="00C05A48">
      <w:pPr>
        <w:pStyle w:val="AODocTxt"/>
        <w:spacing w:line="240" w:lineRule="auto"/>
        <w:rPr>
          <w:sz w:val="24"/>
          <w:szCs w:val="24"/>
          <w:lang w:val="vi-VN"/>
        </w:rPr>
      </w:pPr>
      <w:r w:rsidRPr="00BF2800">
        <w:rPr>
          <w:sz w:val="24"/>
          <w:szCs w:val="24"/>
          <w:lang w:val="vi-VN"/>
        </w:rPr>
        <w:t>Phương thức kết chuyển tiền mặt</w:t>
      </w:r>
      <w:r w:rsidR="0000059C" w:rsidRPr="00BF2800">
        <w:rPr>
          <w:sz w:val="24"/>
          <w:szCs w:val="24"/>
          <w:lang w:val="vi-VN"/>
        </w:rPr>
        <w:t xml:space="preserve"> là </w:t>
      </w:r>
      <w:r w:rsidR="007C5A72" w:rsidRPr="00BF2800">
        <w:rPr>
          <w:sz w:val="24"/>
          <w:szCs w:val="24"/>
          <w:lang w:val="vi-VN"/>
        </w:rPr>
        <w:t xml:space="preserve">một </w:t>
      </w:r>
      <w:r w:rsidR="0000059C" w:rsidRPr="00BF2800">
        <w:rPr>
          <w:sz w:val="24"/>
          <w:szCs w:val="24"/>
          <w:lang w:val="vi-VN"/>
        </w:rPr>
        <w:t>cơ cấu ng</w:t>
      </w:r>
      <w:r w:rsidR="0031693D">
        <w:rPr>
          <w:sz w:val="24"/>
          <w:szCs w:val="24"/>
          <w:lang w:val="en-US"/>
        </w:rPr>
        <w:t>d</w:t>
      </w:r>
      <w:r w:rsidR="0000059C" w:rsidRPr="00BF2800">
        <w:rPr>
          <w:sz w:val="24"/>
          <w:szCs w:val="24"/>
          <w:lang w:val="vi-VN"/>
        </w:rPr>
        <w:t xml:space="preserve">ân hàng, trong đó các số dư tài khoản </w:t>
      </w:r>
      <w:r w:rsidR="007C5A72" w:rsidRPr="00BF2800">
        <w:rPr>
          <w:sz w:val="24"/>
          <w:szCs w:val="24"/>
          <w:lang w:val="vi-VN"/>
        </w:rPr>
        <w:t>của nhiều công ty khác nhau trong phạm vi một tập đoàn sẽ được thu</w:t>
      </w:r>
      <w:r w:rsidR="000A1258" w:rsidRPr="00BF2800">
        <w:rPr>
          <w:sz w:val="24"/>
          <w:szCs w:val="24"/>
          <w:lang w:val="vi-VN"/>
        </w:rPr>
        <w:t xml:space="preserve"> về</w:t>
      </w:r>
      <w:r w:rsidR="007C5A72" w:rsidRPr="00BF2800">
        <w:rPr>
          <w:sz w:val="24"/>
          <w:szCs w:val="24"/>
          <w:lang w:val="vi-VN"/>
        </w:rPr>
        <w:t xml:space="preserve"> hoặc</w:t>
      </w:r>
      <w:r w:rsidR="00FD0FDF" w:rsidRPr="00BF2800">
        <w:rPr>
          <w:sz w:val="24"/>
          <w:szCs w:val="24"/>
          <w:lang w:val="vi-VN"/>
        </w:rPr>
        <w:t xml:space="preserve"> “</w:t>
      </w:r>
      <w:r w:rsidR="007C5A72" w:rsidRPr="00BF2800">
        <w:rPr>
          <w:sz w:val="24"/>
          <w:szCs w:val="24"/>
          <w:lang w:val="vi-VN"/>
        </w:rPr>
        <w:t>được tập trung</w:t>
      </w:r>
      <w:r w:rsidR="00FD0FDF" w:rsidRPr="00BF2800">
        <w:rPr>
          <w:sz w:val="24"/>
          <w:szCs w:val="24"/>
          <w:lang w:val="vi-VN"/>
        </w:rPr>
        <w:t>”</w:t>
      </w:r>
      <w:r w:rsidR="00220F07" w:rsidRPr="00BF2800">
        <w:rPr>
          <w:sz w:val="24"/>
          <w:szCs w:val="24"/>
          <w:lang w:val="vi-VN"/>
        </w:rPr>
        <w:t xml:space="preserve"> </w:t>
      </w:r>
      <w:r w:rsidR="007C5A72" w:rsidRPr="00BF2800">
        <w:rPr>
          <w:sz w:val="24"/>
          <w:szCs w:val="24"/>
          <w:lang w:val="vi-VN"/>
        </w:rPr>
        <w:t xml:space="preserve">vào một tài khoản </w:t>
      </w:r>
      <w:r w:rsidR="000A1258" w:rsidRPr="00BF2800">
        <w:rPr>
          <w:sz w:val="24"/>
          <w:szCs w:val="24"/>
          <w:lang w:val="vi-VN"/>
        </w:rPr>
        <w:t>đã</w:t>
      </w:r>
      <w:r w:rsidR="007C5A72" w:rsidRPr="00BF2800">
        <w:rPr>
          <w:sz w:val="24"/>
          <w:szCs w:val="24"/>
          <w:lang w:val="vi-VN"/>
        </w:rPr>
        <w:t xml:space="preserve"> chỉ định, cụ thể là, </w:t>
      </w:r>
      <w:r w:rsidR="008F5F71" w:rsidRPr="00BF2800">
        <w:rPr>
          <w:sz w:val="24"/>
          <w:szCs w:val="24"/>
          <w:lang w:val="vi-VN"/>
        </w:rPr>
        <w:t>tài khoản chủ</w:t>
      </w:r>
      <w:r w:rsidR="00D15D80" w:rsidRPr="00BF2800">
        <w:rPr>
          <w:sz w:val="24"/>
          <w:szCs w:val="24"/>
          <w:lang w:val="vi-VN"/>
        </w:rPr>
        <w:t xml:space="preserve">. </w:t>
      </w:r>
      <w:r w:rsidR="007C5A72" w:rsidRPr="00BF2800">
        <w:rPr>
          <w:sz w:val="24"/>
          <w:szCs w:val="24"/>
          <w:lang w:val="vi-VN"/>
        </w:rPr>
        <w:t xml:space="preserve">Số dư </w:t>
      </w:r>
      <w:r w:rsidR="008F5F71" w:rsidRPr="00BF2800">
        <w:rPr>
          <w:sz w:val="24"/>
          <w:szCs w:val="24"/>
          <w:lang w:val="vi-VN"/>
        </w:rPr>
        <w:t xml:space="preserve">tài khoản chủ </w:t>
      </w:r>
      <w:r w:rsidR="007C5A72" w:rsidRPr="00BF2800">
        <w:rPr>
          <w:sz w:val="24"/>
          <w:szCs w:val="24"/>
          <w:lang w:val="vi-VN"/>
        </w:rPr>
        <w:t xml:space="preserve">có thể được sử dụng để bù đắp các khoản thiếu hụt tiền mặt </w:t>
      </w:r>
      <w:r w:rsidR="005712D8" w:rsidRPr="00BF2800">
        <w:rPr>
          <w:sz w:val="24"/>
          <w:szCs w:val="24"/>
          <w:lang w:val="vi-VN"/>
        </w:rPr>
        <w:t>từ</w:t>
      </w:r>
      <w:r w:rsidR="007C5A72" w:rsidRPr="00BF2800">
        <w:rPr>
          <w:sz w:val="24"/>
          <w:szCs w:val="24"/>
          <w:lang w:val="vi-VN"/>
        </w:rPr>
        <w:t xml:space="preserve"> các</w:t>
      </w:r>
      <w:r w:rsidR="005712D8" w:rsidRPr="00BF2800">
        <w:rPr>
          <w:sz w:val="24"/>
          <w:szCs w:val="24"/>
          <w:lang w:val="vi-VN"/>
        </w:rPr>
        <w:t xml:space="preserve"> tài</w:t>
      </w:r>
      <w:r w:rsidR="007C5A72" w:rsidRPr="00BF2800">
        <w:rPr>
          <w:sz w:val="24"/>
          <w:szCs w:val="24"/>
          <w:lang w:val="vi-VN"/>
        </w:rPr>
        <w:t xml:space="preserve"> khoản tiền mặt</w:t>
      </w:r>
      <w:r w:rsidR="005712D8" w:rsidRPr="00BF2800">
        <w:rPr>
          <w:sz w:val="24"/>
          <w:szCs w:val="24"/>
          <w:lang w:val="vi-VN"/>
        </w:rPr>
        <w:t xml:space="preserve"> còn dư</w:t>
      </w:r>
      <w:r w:rsidR="007C5A72" w:rsidRPr="00BF2800">
        <w:rPr>
          <w:sz w:val="24"/>
          <w:szCs w:val="24"/>
          <w:lang w:val="vi-VN"/>
        </w:rPr>
        <w:t xml:space="preserve"> giữa các công ty tham gia vào </w:t>
      </w:r>
      <w:r w:rsidR="005712D8" w:rsidRPr="00BF2800">
        <w:rPr>
          <w:sz w:val="24"/>
          <w:szCs w:val="24"/>
          <w:lang w:val="vi-VN"/>
        </w:rPr>
        <w:t>phương thức kết chuyển tiền mặt</w:t>
      </w:r>
      <w:r w:rsidR="00F676B5" w:rsidRPr="00BF2800">
        <w:rPr>
          <w:rStyle w:val="FootnoteReference"/>
          <w:sz w:val="24"/>
          <w:szCs w:val="24"/>
          <w:lang w:val="vi-VN"/>
        </w:rPr>
        <w:footnoteReference w:id="1"/>
      </w:r>
      <w:r w:rsidR="00E768B3" w:rsidRPr="00BF2800">
        <w:rPr>
          <w:sz w:val="24"/>
          <w:szCs w:val="24"/>
          <w:lang w:val="vi-VN"/>
        </w:rPr>
        <w:t xml:space="preserve">, </w:t>
      </w:r>
      <w:r w:rsidR="00850092" w:rsidRPr="00BF2800">
        <w:rPr>
          <w:sz w:val="24"/>
          <w:szCs w:val="24"/>
          <w:lang w:val="vi-VN"/>
        </w:rPr>
        <w:t xml:space="preserve">tạo điều kiện cho các hoạt động đầu tư của tập đoàn cũng như giảm chi phí lãi </w:t>
      </w:r>
      <w:r w:rsidR="006B45FD" w:rsidRPr="00BF2800">
        <w:rPr>
          <w:sz w:val="24"/>
          <w:szCs w:val="24"/>
          <w:lang w:val="vi-VN"/>
        </w:rPr>
        <w:t>đang</w:t>
      </w:r>
      <w:r w:rsidR="00850092" w:rsidRPr="00BF2800">
        <w:rPr>
          <w:sz w:val="24"/>
          <w:szCs w:val="24"/>
          <w:lang w:val="vi-VN"/>
        </w:rPr>
        <w:t xml:space="preserve"> tồn tại trong hệ thống đa tài khoản</w:t>
      </w:r>
      <w:r w:rsidR="00E768B3" w:rsidRPr="00BF2800">
        <w:rPr>
          <w:sz w:val="24"/>
          <w:szCs w:val="24"/>
          <w:lang w:val="vi-VN"/>
        </w:rPr>
        <w:t xml:space="preserve">. </w:t>
      </w:r>
      <w:bookmarkStart w:id="0" w:name="_GoBack"/>
      <w:bookmarkEnd w:id="0"/>
      <w:r w:rsidR="00850092" w:rsidRPr="00BF2800">
        <w:rPr>
          <w:sz w:val="24"/>
          <w:szCs w:val="24"/>
          <w:lang w:val="vi-VN"/>
        </w:rPr>
        <w:t xml:space="preserve">Lợi ích chính của cơ cấu </w:t>
      </w:r>
      <w:r w:rsidR="006B45FD" w:rsidRPr="00BF2800">
        <w:rPr>
          <w:sz w:val="24"/>
          <w:szCs w:val="24"/>
          <w:lang w:val="vi-VN"/>
        </w:rPr>
        <w:t>kết chuyển tiền mặt</w:t>
      </w:r>
      <w:r w:rsidR="00850092" w:rsidRPr="00BF2800">
        <w:rPr>
          <w:sz w:val="24"/>
          <w:szCs w:val="24"/>
          <w:lang w:val="vi-VN"/>
        </w:rPr>
        <w:t xml:space="preserve"> </w:t>
      </w:r>
      <w:r w:rsidR="00D619CD" w:rsidRPr="00BF2800">
        <w:rPr>
          <w:sz w:val="24"/>
          <w:szCs w:val="24"/>
          <w:lang w:val="vi-VN"/>
        </w:rPr>
        <w:t xml:space="preserve">là tối ưu hóa </w:t>
      </w:r>
      <w:r w:rsidR="006B45FD" w:rsidRPr="00BF2800">
        <w:rPr>
          <w:sz w:val="24"/>
          <w:szCs w:val="24"/>
          <w:lang w:val="vi-VN"/>
        </w:rPr>
        <w:t>nguồn tài chính</w:t>
      </w:r>
      <w:r w:rsidR="00D619CD" w:rsidRPr="00BF2800">
        <w:rPr>
          <w:sz w:val="24"/>
          <w:szCs w:val="24"/>
          <w:lang w:val="vi-VN"/>
        </w:rPr>
        <w:t xml:space="preserve"> của toàn bộ tập đoàn</w:t>
      </w:r>
      <w:r w:rsidR="00864B73" w:rsidRPr="00BF2800">
        <w:rPr>
          <w:sz w:val="24"/>
          <w:szCs w:val="24"/>
          <w:lang w:val="vi-VN"/>
        </w:rPr>
        <w:t>.</w:t>
      </w:r>
    </w:p>
    <w:p w:rsidR="00D15D80" w:rsidRPr="00BF2800" w:rsidRDefault="006B45FD" w:rsidP="00C05A48">
      <w:pPr>
        <w:pStyle w:val="AODocTxt"/>
        <w:spacing w:line="240" w:lineRule="auto"/>
        <w:rPr>
          <w:sz w:val="24"/>
          <w:szCs w:val="24"/>
          <w:lang w:val="vi-VN"/>
        </w:rPr>
      </w:pPr>
      <w:r w:rsidRPr="00BF2800">
        <w:rPr>
          <w:sz w:val="24"/>
          <w:szCs w:val="24"/>
          <w:lang w:val="vi-VN"/>
        </w:rPr>
        <w:t xml:space="preserve">Phương thức kết chuyển tiền mặt </w:t>
      </w:r>
      <w:r w:rsidR="00D619CD" w:rsidRPr="00BF2800">
        <w:rPr>
          <w:sz w:val="24"/>
          <w:szCs w:val="24"/>
          <w:lang w:val="vi-VN"/>
        </w:rPr>
        <w:t xml:space="preserve">đã được chấp nhận tại nhiều quốc gia như </w:t>
      </w:r>
      <w:r w:rsidR="00864B73" w:rsidRPr="00BF2800">
        <w:rPr>
          <w:sz w:val="24"/>
          <w:szCs w:val="24"/>
          <w:lang w:val="vi-VN"/>
        </w:rPr>
        <w:t xml:space="preserve">Singapore, Hong Kong, </w:t>
      </w:r>
      <w:r w:rsidR="00D619CD" w:rsidRPr="00BF2800">
        <w:rPr>
          <w:sz w:val="24"/>
          <w:szCs w:val="24"/>
          <w:lang w:val="vi-VN"/>
        </w:rPr>
        <w:t xml:space="preserve">Úc, </w:t>
      </w:r>
      <w:r w:rsidR="00220F07" w:rsidRPr="00BF2800">
        <w:rPr>
          <w:sz w:val="24"/>
          <w:szCs w:val="24"/>
          <w:lang w:val="vi-VN"/>
        </w:rPr>
        <w:t>Indonesia</w:t>
      </w:r>
      <w:r w:rsidR="00864B73" w:rsidRPr="00BF2800">
        <w:rPr>
          <w:sz w:val="24"/>
          <w:szCs w:val="24"/>
          <w:lang w:val="vi-VN"/>
        </w:rPr>
        <w:t xml:space="preserve"> </w:t>
      </w:r>
      <w:r w:rsidR="003410A7" w:rsidRPr="00BF2800">
        <w:rPr>
          <w:sz w:val="24"/>
          <w:szCs w:val="24"/>
          <w:lang w:val="vi-VN"/>
        </w:rPr>
        <w:t xml:space="preserve">hoặc </w:t>
      </w:r>
      <w:r w:rsidR="00864B73" w:rsidRPr="00BF2800">
        <w:rPr>
          <w:sz w:val="24"/>
          <w:szCs w:val="24"/>
          <w:lang w:val="vi-VN"/>
        </w:rPr>
        <w:t>Malaysia</w:t>
      </w:r>
      <w:r w:rsidR="00C7127B" w:rsidRPr="00BF2800">
        <w:rPr>
          <w:sz w:val="24"/>
          <w:szCs w:val="24"/>
          <w:lang w:val="vi-VN"/>
        </w:rPr>
        <w:t xml:space="preserve">. </w:t>
      </w:r>
      <w:r w:rsidR="003410A7" w:rsidRPr="00BF2800">
        <w:rPr>
          <w:sz w:val="24"/>
          <w:szCs w:val="24"/>
          <w:lang w:val="vi-VN"/>
        </w:rPr>
        <w:t>Công tác kiể</w:t>
      </w:r>
      <w:r w:rsidRPr="00BF2800">
        <w:rPr>
          <w:sz w:val="24"/>
          <w:szCs w:val="24"/>
          <w:lang w:val="vi-VN"/>
        </w:rPr>
        <w:t>m soát phương thức kết chuyển</w:t>
      </w:r>
      <w:r w:rsidR="003410A7" w:rsidRPr="00BF2800">
        <w:rPr>
          <w:sz w:val="24"/>
          <w:szCs w:val="24"/>
          <w:lang w:val="vi-VN"/>
        </w:rPr>
        <w:t xml:space="preserve"> có thể khác nhau giữa các quốc gia do quy định ngoại hối của các </w:t>
      </w:r>
      <w:r w:rsidRPr="00BF2800">
        <w:rPr>
          <w:sz w:val="24"/>
          <w:szCs w:val="24"/>
          <w:lang w:val="vi-VN"/>
        </w:rPr>
        <w:t>nước đó</w:t>
      </w:r>
      <w:r w:rsidR="003410A7" w:rsidRPr="00BF2800">
        <w:rPr>
          <w:sz w:val="24"/>
          <w:szCs w:val="24"/>
          <w:lang w:val="vi-VN"/>
        </w:rPr>
        <w:t>, nhưng nhìn chung</w:t>
      </w:r>
      <w:r w:rsidR="00514432" w:rsidRPr="00BF2800">
        <w:rPr>
          <w:sz w:val="24"/>
          <w:szCs w:val="24"/>
          <w:lang w:val="vi-VN"/>
        </w:rPr>
        <w:t>,</w:t>
      </w:r>
      <w:r w:rsidR="008E3853" w:rsidRPr="00BF2800">
        <w:rPr>
          <w:sz w:val="24"/>
          <w:szCs w:val="24"/>
          <w:lang w:val="vi-VN"/>
        </w:rPr>
        <w:t xml:space="preserve"> </w:t>
      </w:r>
      <w:r w:rsidR="00514432" w:rsidRPr="00BF2800">
        <w:rPr>
          <w:sz w:val="24"/>
          <w:szCs w:val="24"/>
          <w:lang w:val="vi-VN"/>
        </w:rPr>
        <w:t>phương thức kết chuyển tiền mặt</w:t>
      </w:r>
      <w:r w:rsidR="003410A7" w:rsidRPr="00BF2800">
        <w:rPr>
          <w:sz w:val="24"/>
          <w:szCs w:val="24"/>
          <w:lang w:val="vi-VN"/>
        </w:rPr>
        <w:t xml:space="preserve"> </w:t>
      </w:r>
      <w:r w:rsidR="004D63AA" w:rsidRPr="00BF2800">
        <w:rPr>
          <w:sz w:val="24"/>
          <w:szCs w:val="24"/>
          <w:lang w:val="vi-VN"/>
        </w:rPr>
        <w:t>danh nghĩa</w:t>
      </w:r>
      <w:r w:rsidR="00514432" w:rsidRPr="00BF2800">
        <w:rPr>
          <w:sz w:val="24"/>
          <w:szCs w:val="24"/>
          <w:lang w:val="vi-VN"/>
        </w:rPr>
        <w:t xml:space="preserve"> và hữu hình</w:t>
      </w:r>
      <w:r w:rsidR="004D63AA" w:rsidRPr="00BF2800">
        <w:rPr>
          <w:sz w:val="24"/>
          <w:szCs w:val="24"/>
          <w:lang w:val="vi-VN"/>
        </w:rPr>
        <w:t xml:space="preserve"> </w:t>
      </w:r>
      <w:r w:rsidR="00514432" w:rsidRPr="00BF2800">
        <w:rPr>
          <w:sz w:val="24"/>
          <w:szCs w:val="24"/>
          <w:lang w:val="vi-VN"/>
        </w:rPr>
        <w:t>trong nước là được phép</w:t>
      </w:r>
      <w:r w:rsidR="004D63AA" w:rsidRPr="00BF2800">
        <w:rPr>
          <w:sz w:val="24"/>
          <w:szCs w:val="24"/>
          <w:lang w:val="vi-VN"/>
        </w:rPr>
        <w:t>.</w:t>
      </w:r>
      <w:r w:rsidR="00864B73" w:rsidRPr="00BF2800">
        <w:rPr>
          <w:sz w:val="24"/>
          <w:szCs w:val="24"/>
          <w:lang w:val="vi-VN"/>
        </w:rPr>
        <w:t xml:space="preserve"> </w:t>
      </w:r>
      <w:r w:rsidR="004D63AA" w:rsidRPr="00BF2800">
        <w:rPr>
          <w:sz w:val="24"/>
          <w:szCs w:val="24"/>
          <w:lang w:val="vi-VN"/>
        </w:rPr>
        <w:t>Hiệ</w:t>
      </w:r>
      <w:r w:rsidR="00514432" w:rsidRPr="00BF2800">
        <w:rPr>
          <w:sz w:val="24"/>
          <w:szCs w:val="24"/>
          <w:lang w:val="vi-VN"/>
        </w:rPr>
        <w:t>n nay, việc</w:t>
      </w:r>
      <w:r w:rsidR="004D63AA" w:rsidRPr="00BF2800">
        <w:rPr>
          <w:sz w:val="24"/>
          <w:szCs w:val="24"/>
          <w:lang w:val="vi-VN"/>
        </w:rPr>
        <w:t xml:space="preserve"> không có bất kỳ cơ sở pháp lý rõ ràng nào về cơ cấu </w:t>
      </w:r>
      <w:r w:rsidR="00514432" w:rsidRPr="00BF2800">
        <w:rPr>
          <w:sz w:val="24"/>
          <w:szCs w:val="24"/>
          <w:lang w:val="vi-VN"/>
        </w:rPr>
        <w:t>kết chuyển tiền mặt đã ngăn cản</w:t>
      </w:r>
      <w:r w:rsidR="00F53AE3" w:rsidRPr="00BF2800">
        <w:rPr>
          <w:sz w:val="24"/>
          <w:szCs w:val="24"/>
          <w:lang w:val="vi-VN"/>
        </w:rPr>
        <w:t xml:space="preserve"> các tổ chức tín dụng cung cấp sản phẩm </w:t>
      </w:r>
      <w:r w:rsidR="00514432" w:rsidRPr="00BF2800">
        <w:rPr>
          <w:sz w:val="24"/>
          <w:szCs w:val="24"/>
          <w:lang w:val="vi-VN"/>
        </w:rPr>
        <w:t>này</w:t>
      </w:r>
      <w:r w:rsidR="00F53AE3" w:rsidRPr="00BF2800">
        <w:rPr>
          <w:sz w:val="24"/>
          <w:szCs w:val="24"/>
          <w:lang w:val="vi-VN"/>
        </w:rPr>
        <w:t xml:space="preserve"> tại Việt Nam</w:t>
      </w:r>
      <w:r w:rsidR="00A80854" w:rsidRPr="00BF2800">
        <w:rPr>
          <w:sz w:val="24"/>
          <w:szCs w:val="24"/>
          <w:lang w:val="vi-VN"/>
        </w:rPr>
        <w:t xml:space="preserve">. </w:t>
      </w:r>
      <w:r w:rsidR="00AE6F23" w:rsidRPr="00BF2800">
        <w:rPr>
          <w:sz w:val="24"/>
          <w:szCs w:val="24"/>
          <w:lang w:val="vi-VN"/>
        </w:rPr>
        <w:t>P</w:t>
      </w:r>
      <w:r w:rsidR="00F53AE3" w:rsidRPr="00BF2800">
        <w:rPr>
          <w:sz w:val="24"/>
          <w:szCs w:val="24"/>
          <w:lang w:val="vi-VN"/>
        </w:rPr>
        <w:t xml:space="preserve">hần </w:t>
      </w:r>
      <w:r w:rsidR="00514432" w:rsidRPr="00BF2800">
        <w:rPr>
          <w:sz w:val="24"/>
          <w:szCs w:val="24"/>
          <w:lang w:val="vi-VN"/>
        </w:rPr>
        <w:t>tiếp theo</w:t>
      </w:r>
      <w:r w:rsidR="004D3C54" w:rsidRPr="00BF2800">
        <w:rPr>
          <w:sz w:val="24"/>
          <w:szCs w:val="24"/>
          <w:lang w:val="vi-VN"/>
        </w:rPr>
        <w:t xml:space="preserve"> của bản phân tích pháp lý này </w:t>
      </w:r>
      <w:r w:rsidR="00F53AE3" w:rsidRPr="00BF2800">
        <w:rPr>
          <w:sz w:val="24"/>
          <w:szCs w:val="24"/>
          <w:lang w:val="vi-VN"/>
        </w:rPr>
        <w:t xml:space="preserve">sẽ </w:t>
      </w:r>
      <w:r w:rsidR="00AE6F23" w:rsidRPr="00BF2800">
        <w:rPr>
          <w:sz w:val="24"/>
          <w:szCs w:val="24"/>
          <w:lang w:val="vi-VN"/>
        </w:rPr>
        <w:t>khám phá các</w:t>
      </w:r>
      <w:r w:rsidR="00F53AE3" w:rsidRPr="00BF2800">
        <w:rPr>
          <w:sz w:val="24"/>
          <w:szCs w:val="24"/>
          <w:lang w:val="vi-VN"/>
        </w:rPr>
        <w:t xml:space="preserve"> quy định liên quan hiện </w:t>
      </w:r>
      <w:r w:rsidR="00AE6F23" w:rsidRPr="00BF2800">
        <w:rPr>
          <w:sz w:val="24"/>
          <w:szCs w:val="24"/>
          <w:lang w:val="vi-VN"/>
        </w:rPr>
        <w:t>hành</w:t>
      </w:r>
      <w:r w:rsidR="00F53AE3" w:rsidRPr="00BF2800">
        <w:rPr>
          <w:sz w:val="24"/>
          <w:szCs w:val="24"/>
          <w:lang w:val="vi-VN"/>
        </w:rPr>
        <w:t xml:space="preserve"> để chứng minh rằng</w:t>
      </w:r>
      <w:r w:rsidR="00AE6F23" w:rsidRPr="00BF2800">
        <w:rPr>
          <w:sz w:val="24"/>
          <w:szCs w:val="24"/>
          <w:lang w:val="vi-VN"/>
        </w:rPr>
        <w:t xml:space="preserve"> pháp luật Việt Nam không cấm</w:t>
      </w:r>
      <w:r w:rsidR="00F53AE3" w:rsidRPr="00BF2800">
        <w:rPr>
          <w:sz w:val="24"/>
          <w:szCs w:val="24"/>
          <w:lang w:val="vi-VN"/>
        </w:rPr>
        <w:t xml:space="preserve"> cơ cấu </w:t>
      </w:r>
      <w:r w:rsidR="00AE6F23" w:rsidRPr="00BF2800">
        <w:rPr>
          <w:sz w:val="24"/>
          <w:szCs w:val="24"/>
          <w:lang w:val="vi-VN"/>
        </w:rPr>
        <w:t>kết chuyển tiền mặt này</w:t>
      </w:r>
      <w:r w:rsidR="00F53AE3" w:rsidRPr="00BF2800">
        <w:rPr>
          <w:sz w:val="24"/>
          <w:szCs w:val="24"/>
          <w:lang w:val="vi-VN"/>
        </w:rPr>
        <w:t xml:space="preserve"> và Ngân Hàng Nhà Nước Việt Nam có thể xem xét chấp thuận và ban hành văn bản hướng dẫn chính thức về</w:t>
      </w:r>
      <w:r w:rsidR="00AE6F23" w:rsidRPr="00BF2800">
        <w:rPr>
          <w:sz w:val="24"/>
          <w:szCs w:val="24"/>
          <w:lang w:val="vi-VN"/>
        </w:rPr>
        <w:t xml:space="preserve"> việc</w:t>
      </w:r>
      <w:r w:rsidR="00F53AE3" w:rsidRPr="00BF2800">
        <w:rPr>
          <w:sz w:val="24"/>
          <w:szCs w:val="24"/>
          <w:lang w:val="vi-VN"/>
        </w:rPr>
        <w:t xml:space="preserve"> </w:t>
      </w:r>
      <w:r w:rsidR="004D3C54" w:rsidRPr="00BF2800">
        <w:rPr>
          <w:sz w:val="24"/>
          <w:szCs w:val="24"/>
          <w:lang w:val="vi-VN"/>
        </w:rPr>
        <w:t xml:space="preserve">các tổ chức tín dụng </w:t>
      </w:r>
      <w:r w:rsidR="00F53AE3" w:rsidRPr="00BF2800">
        <w:rPr>
          <w:sz w:val="24"/>
          <w:szCs w:val="24"/>
          <w:lang w:val="vi-VN"/>
        </w:rPr>
        <w:t xml:space="preserve">cung cấp các sản phẩm </w:t>
      </w:r>
      <w:r w:rsidR="00AE6F23" w:rsidRPr="00BF2800">
        <w:rPr>
          <w:sz w:val="24"/>
          <w:szCs w:val="24"/>
          <w:lang w:val="vi-VN"/>
        </w:rPr>
        <w:t>kết chuyển tiền mặt</w:t>
      </w:r>
      <w:r w:rsidR="00F53AE3" w:rsidRPr="00BF2800">
        <w:rPr>
          <w:sz w:val="24"/>
          <w:szCs w:val="24"/>
          <w:lang w:val="vi-VN"/>
        </w:rPr>
        <w:t xml:space="preserve"> như là </w:t>
      </w:r>
      <w:r w:rsidR="00AE6F23" w:rsidRPr="00BF2800">
        <w:rPr>
          <w:sz w:val="24"/>
          <w:szCs w:val="24"/>
          <w:lang w:val="vi-VN"/>
        </w:rPr>
        <w:t xml:space="preserve">một </w:t>
      </w:r>
      <w:r w:rsidR="00F53AE3" w:rsidRPr="00BF2800">
        <w:rPr>
          <w:sz w:val="24"/>
          <w:szCs w:val="24"/>
          <w:lang w:val="vi-VN"/>
        </w:rPr>
        <w:t>sản phẩm ngân hàng độc lập hoặc thông qua các dịch vụ cho vay ủy thác</w:t>
      </w:r>
      <w:r w:rsidR="00200231" w:rsidRPr="00BF2800">
        <w:rPr>
          <w:sz w:val="24"/>
          <w:szCs w:val="24"/>
          <w:lang w:val="vi-VN"/>
        </w:rPr>
        <w:t>.</w:t>
      </w:r>
    </w:p>
    <w:p w:rsidR="00E768B3" w:rsidRPr="00BF2800" w:rsidRDefault="009B6BA1" w:rsidP="00C05A48">
      <w:pPr>
        <w:pStyle w:val="AOHead1"/>
        <w:tabs>
          <w:tab w:val="clear" w:pos="720"/>
        </w:tabs>
        <w:spacing w:line="240" w:lineRule="auto"/>
        <w:ind w:left="360" w:hanging="360"/>
        <w:rPr>
          <w:sz w:val="24"/>
          <w:szCs w:val="24"/>
          <w:lang w:val="vi-VN"/>
        </w:rPr>
      </w:pPr>
      <w:r w:rsidRPr="00BF2800">
        <w:rPr>
          <w:sz w:val="24"/>
          <w:szCs w:val="24"/>
          <w:lang w:val="vi-VN"/>
        </w:rPr>
        <w:t xml:space="preserve">QUY ĐỊNH LIÊN QUAN THEO LUẬT VIỆT NAM </w:t>
      </w:r>
    </w:p>
    <w:p w:rsidR="00751806" w:rsidRPr="0031693D" w:rsidRDefault="009415FC" w:rsidP="00C05A48">
      <w:pPr>
        <w:pStyle w:val="AOHead2"/>
        <w:tabs>
          <w:tab w:val="clear" w:pos="720"/>
        </w:tabs>
        <w:spacing w:line="240" w:lineRule="auto"/>
        <w:ind w:left="540" w:hanging="540"/>
        <w:rPr>
          <w:i/>
          <w:sz w:val="24"/>
          <w:szCs w:val="24"/>
          <w:lang w:val="vi-VN"/>
        </w:rPr>
      </w:pPr>
      <w:r w:rsidRPr="0031693D">
        <w:rPr>
          <w:i/>
          <w:sz w:val="24"/>
          <w:szCs w:val="24"/>
          <w:lang w:val="vi-VN"/>
        </w:rPr>
        <w:t>Các hoạt động ngân hàng theo quy định của Luật Các Tổ Chức Tín Dụ</w:t>
      </w:r>
      <w:r w:rsidR="006D7B60" w:rsidRPr="0031693D">
        <w:rPr>
          <w:i/>
          <w:sz w:val="24"/>
          <w:szCs w:val="24"/>
          <w:lang w:val="vi-VN"/>
        </w:rPr>
        <w:t>ng Năm</w:t>
      </w:r>
      <w:r w:rsidRPr="0031693D">
        <w:rPr>
          <w:i/>
          <w:sz w:val="24"/>
          <w:szCs w:val="24"/>
          <w:lang w:val="vi-VN"/>
        </w:rPr>
        <w:t xml:space="preserve"> </w:t>
      </w:r>
      <w:r w:rsidR="00751806" w:rsidRPr="0031693D">
        <w:rPr>
          <w:i/>
          <w:sz w:val="24"/>
          <w:szCs w:val="24"/>
          <w:lang w:val="vi-VN"/>
        </w:rPr>
        <w:t>2010</w:t>
      </w:r>
    </w:p>
    <w:p w:rsidR="003D734A" w:rsidRPr="00BF2800" w:rsidRDefault="00723248" w:rsidP="00C05A48">
      <w:pPr>
        <w:pStyle w:val="AODocTxtL1"/>
        <w:spacing w:line="240" w:lineRule="auto"/>
        <w:ind w:left="0"/>
        <w:rPr>
          <w:sz w:val="24"/>
          <w:szCs w:val="24"/>
          <w:lang w:val="vi-VN"/>
        </w:rPr>
      </w:pPr>
      <w:r w:rsidRPr="00BF2800">
        <w:rPr>
          <w:sz w:val="24"/>
          <w:szCs w:val="24"/>
          <w:lang w:val="vi-VN"/>
        </w:rPr>
        <w:t>Theo quy đị</w:t>
      </w:r>
      <w:r w:rsidR="004D3C54" w:rsidRPr="00BF2800">
        <w:rPr>
          <w:sz w:val="24"/>
          <w:szCs w:val="24"/>
          <w:lang w:val="vi-VN"/>
        </w:rPr>
        <w:t>nh tại khoản 2</w:t>
      </w:r>
      <w:r w:rsidRPr="00BF2800">
        <w:rPr>
          <w:sz w:val="24"/>
          <w:szCs w:val="24"/>
          <w:lang w:val="vi-VN"/>
        </w:rPr>
        <w:t xml:space="preserve"> Điều </w:t>
      </w:r>
      <w:r w:rsidR="004D3C54" w:rsidRPr="00BF2800">
        <w:rPr>
          <w:sz w:val="24"/>
          <w:szCs w:val="24"/>
          <w:lang w:val="vi-VN"/>
        </w:rPr>
        <w:t>8</w:t>
      </w:r>
      <w:r w:rsidR="003D734A" w:rsidRPr="00BF2800">
        <w:rPr>
          <w:sz w:val="24"/>
          <w:szCs w:val="24"/>
          <w:lang w:val="vi-VN"/>
        </w:rPr>
        <w:t xml:space="preserve"> </w:t>
      </w:r>
      <w:r w:rsidRPr="00BF2800">
        <w:rPr>
          <w:sz w:val="24"/>
          <w:szCs w:val="24"/>
          <w:lang w:val="vi-VN"/>
        </w:rPr>
        <w:t>Luật</w:t>
      </w:r>
      <w:r w:rsidR="004D3C54" w:rsidRPr="00BF2800">
        <w:rPr>
          <w:sz w:val="24"/>
          <w:szCs w:val="24"/>
          <w:lang w:val="vi-VN"/>
        </w:rPr>
        <w:t xml:space="preserve"> Các Tổ Chức Tín Dụng</w:t>
      </w:r>
      <w:r w:rsidRPr="00BF2800">
        <w:rPr>
          <w:sz w:val="24"/>
          <w:szCs w:val="24"/>
          <w:lang w:val="vi-VN"/>
        </w:rPr>
        <w:t xml:space="preserve"> số </w:t>
      </w:r>
      <w:r w:rsidR="003D734A" w:rsidRPr="00BF2800">
        <w:rPr>
          <w:sz w:val="24"/>
          <w:szCs w:val="24"/>
          <w:lang w:val="vi-VN"/>
        </w:rPr>
        <w:t xml:space="preserve">47/2010/QH12 </w:t>
      </w:r>
      <w:r w:rsidRPr="00BF2800">
        <w:rPr>
          <w:sz w:val="24"/>
          <w:szCs w:val="24"/>
          <w:lang w:val="vi-VN"/>
        </w:rPr>
        <w:t>được Quốc Hội thông qua</w:t>
      </w:r>
      <w:r w:rsidR="004D3C54" w:rsidRPr="00BF2800">
        <w:rPr>
          <w:sz w:val="24"/>
          <w:szCs w:val="24"/>
          <w:lang w:val="vi-VN"/>
        </w:rPr>
        <w:t xml:space="preserve"> vào</w:t>
      </w:r>
      <w:r w:rsidRPr="00BF2800">
        <w:rPr>
          <w:sz w:val="24"/>
          <w:szCs w:val="24"/>
          <w:lang w:val="vi-VN"/>
        </w:rPr>
        <w:t xml:space="preserve"> ngày </w:t>
      </w:r>
      <w:r w:rsidR="00173A3C" w:rsidRPr="00BF2800">
        <w:rPr>
          <w:sz w:val="24"/>
          <w:szCs w:val="24"/>
          <w:lang w:val="vi-VN"/>
        </w:rPr>
        <w:t xml:space="preserve">16 </w:t>
      </w:r>
      <w:r w:rsidRPr="00BF2800">
        <w:rPr>
          <w:sz w:val="24"/>
          <w:szCs w:val="24"/>
          <w:lang w:val="vi-VN"/>
        </w:rPr>
        <w:t xml:space="preserve">tháng 06 năm </w:t>
      </w:r>
      <w:r w:rsidR="00173A3C" w:rsidRPr="00BF2800">
        <w:rPr>
          <w:sz w:val="24"/>
          <w:szCs w:val="24"/>
          <w:lang w:val="vi-VN"/>
        </w:rPr>
        <w:t>2010</w:t>
      </w:r>
      <w:r w:rsidR="00751806" w:rsidRPr="00BF2800">
        <w:rPr>
          <w:sz w:val="24"/>
          <w:szCs w:val="24"/>
          <w:lang w:val="vi-VN"/>
        </w:rPr>
        <w:t xml:space="preserve"> (</w:t>
      </w:r>
      <w:r w:rsidR="00F9779C" w:rsidRPr="00BF2800">
        <w:rPr>
          <w:b/>
          <w:sz w:val="24"/>
          <w:szCs w:val="24"/>
          <w:lang w:val="vi-VN"/>
        </w:rPr>
        <w:t>Luật Các Tổ Chức Tín Dụng</w:t>
      </w:r>
      <w:r w:rsidR="006D7B60" w:rsidRPr="00BF2800">
        <w:rPr>
          <w:b/>
          <w:sz w:val="24"/>
          <w:szCs w:val="24"/>
          <w:lang w:val="vi-VN"/>
        </w:rPr>
        <w:t xml:space="preserve"> Năm</w:t>
      </w:r>
      <w:r w:rsidR="00751806" w:rsidRPr="00BF2800">
        <w:rPr>
          <w:b/>
          <w:sz w:val="24"/>
          <w:szCs w:val="24"/>
          <w:lang w:val="vi-VN"/>
        </w:rPr>
        <w:t xml:space="preserve"> 2010</w:t>
      </w:r>
      <w:r w:rsidR="00751806" w:rsidRPr="00BF2800">
        <w:rPr>
          <w:sz w:val="24"/>
          <w:szCs w:val="24"/>
          <w:lang w:val="vi-VN"/>
        </w:rPr>
        <w:t>)</w:t>
      </w:r>
      <w:r w:rsidR="00173A3C" w:rsidRPr="00BF2800">
        <w:rPr>
          <w:sz w:val="24"/>
          <w:szCs w:val="24"/>
          <w:lang w:val="vi-VN"/>
        </w:rPr>
        <w:t xml:space="preserve">, </w:t>
      </w:r>
      <w:r w:rsidRPr="00BF2800">
        <w:rPr>
          <w:sz w:val="24"/>
          <w:szCs w:val="24"/>
          <w:lang w:val="vi-VN"/>
        </w:rPr>
        <w:t>cá nhân, tổ chức không phải là tổ chức tín dụng</w:t>
      </w:r>
      <w:r w:rsidR="00E20BE5" w:rsidRPr="00BF2800">
        <w:rPr>
          <w:sz w:val="24"/>
          <w:szCs w:val="24"/>
          <w:lang w:val="vi-VN"/>
        </w:rPr>
        <w:t xml:space="preserve"> bị cấm</w:t>
      </w:r>
      <w:r w:rsidRPr="00BF2800">
        <w:rPr>
          <w:sz w:val="24"/>
          <w:szCs w:val="24"/>
          <w:lang w:val="vi-VN"/>
        </w:rPr>
        <w:t xml:space="preserve"> thực hiện hoạt động ngân hàng</w:t>
      </w:r>
      <w:r w:rsidR="00173A3C" w:rsidRPr="00BF2800">
        <w:rPr>
          <w:sz w:val="24"/>
          <w:szCs w:val="24"/>
          <w:lang w:val="vi-VN"/>
        </w:rPr>
        <w:t xml:space="preserve">. </w:t>
      </w:r>
      <w:r w:rsidRPr="00BF2800">
        <w:rPr>
          <w:sz w:val="24"/>
          <w:szCs w:val="24"/>
          <w:lang w:val="vi-VN"/>
        </w:rPr>
        <w:t>Các hoạt động ngân hàng bao gồm</w:t>
      </w:r>
      <w:r w:rsidR="00E20BE5" w:rsidRPr="00BF2800">
        <w:rPr>
          <w:sz w:val="24"/>
          <w:szCs w:val="24"/>
          <w:lang w:val="vi-VN"/>
        </w:rPr>
        <w:t xml:space="preserve"> việc</w:t>
      </w:r>
      <w:r w:rsidRPr="00BF2800">
        <w:rPr>
          <w:sz w:val="24"/>
          <w:szCs w:val="24"/>
          <w:lang w:val="vi-VN"/>
        </w:rPr>
        <w:t xml:space="preserve"> </w:t>
      </w:r>
      <w:r w:rsidR="009E449C" w:rsidRPr="00BF2800">
        <w:rPr>
          <w:sz w:val="24"/>
          <w:szCs w:val="24"/>
          <w:lang w:val="vi-VN"/>
        </w:rPr>
        <w:t xml:space="preserve">thường xuyên cung cấp các dịch vụ cho vay nhằm mục đích </w:t>
      </w:r>
      <w:r w:rsidR="00E20BE5" w:rsidRPr="00BF2800">
        <w:rPr>
          <w:sz w:val="24"/>
          <w:szCs w:val="24"/>
          <w:lang w:val="vi-VN"/>
        </w:rPr>
        <w:t>sinh lời</w:t>
      </w:r>
      <w:r w:rsidR="009E449C" w:rsidRPr="00BF2800">
        <w:rPr>
          <w:sz w:val="24"/>
          <w:szCs w:val="24"/>
          <w:lang w:val="vi-VN"/>
        </w:rPr>
        <w:t xml:space="preserve">, nhưng không có </w:t>
      </w:r>
      <w:r w:rsidR="00E20BE5" w:rsidRPr="00BF2800">
        <w:rPr>
          <w:sz w:val="24"/>
          <w:szCs w:val="24"/>
          <w:lang w:val="vi-VN"/>
        </w:rPr>
        <w:t xml:space="preserve">thêm </w:t>
      </w:r>
      <w:r w:rsidR="009E449C" w:rsidRPr="00BF2800">
        <w:rPr>
          <w:sz w:val="24"/>
          <w:szCs w:val="24"/>
          <w:lang w:val="vi-VN"/>
        </w:rPr>
        <w:t xml:space="preserve">giải thích </w:t>
      </w:r>
      <w:r w:rsidR="00E20BE5" w:rsidRPr="00BF2800">
        <w:rPr>
          <w:sz w:val="24"/>
          <w:szCs w:val="24"/>
          <w:lang w:val="vi-VN"/>
        </w:rPr>
        <w:t>nào</w:t>
      </w:r>
      <w:r w:rsidR="009E449C" w:rsidRPr="00BF2800">
        <w:rPr>
          <w:sz w:val="24"/>
          <w:szCs w:val="24"/>
          <w:lang w:val="vi-VN"/>
        </w:rPr>
        <w:t xml:space="preserve"> về</w:t>
      </w:r>
      <w:r w:rsidR="00E20BE5" w:rsidRPr="00BF2800">
        <w:rPr>
          <w:sz w:val="24"/>
          <w:szCs w:val="24"/>
          <w:lang w:val="vi-VN"/>
        </w:rPr>
        <w:t xml:space="preserve"> khái niệm</w:t>
      </w:r>
      <w:r w:rsidR="009E449C" w:rsidRPr="00BF2800">
        <w:rPr>
          <w:sz w:val="24"/>
          <w:szCs w:val="24"/>
          <w:lang w:val="vi-VN"/>
        </w:rPr>
        <w:t xml:space="preserve"> </w:t>
      </w:r>
      <w:r w:rsidR="00173A3C" w:rsidRPr="00BF2800">
        <w:rPr>
          <w:sz w:val="24"/>
          <w:szCs w:val="24"/>
          <w:lang w:val="vi-VN"/>
        </w:rPr>
        <w:t>“</w:t>
      </w:r>
      <w:r w:rsidR="009E449C" w:rsidRPr="00BF2800">
        <w:rPr>
          <w:sz w:val="24"/>
          <w:szCs w:val="24"/>
          <w:lang w:val="vi-VN"/>
        </w:rPr>
        <w:t>thường xuyên cung cấp</w:t>
      </w:r>
      <w:r w:rsidR="00173A3C" w:rsidRPr="00BF2800">
        <w:rPr>
          <w:sz w:val="24"/>
          <w:szCs w:val="24"/>
          <w:lang w:val="vi-VN"/>
        </w:rPr>
        <w:t xml:space="preserve">” </w:t>
      </w:r>
      <w:r w:rsidR="009E449C" w:rsidRPr="00BF2800">
        <w:rPr>
          <w:sz w:val="24"/>
          <w:szCs w:val="24"/>
          <w:lang w:val="vi-VN"/>
        </w:rPr>
        <w:t xml:space="preserve">và </w:t>
      </w:r>
      <w:r w:rsidR="005F7D5A" w:rsidRPr="00BF2800">
        <w:rPr>
          <w:sz w:val="24"/>
          <w:szCs w:val="24"/>
          <w:lang w:val="vi-VN"/>
        </w:rPr>
        <w:t>“</w:t>
      </w:r>
      <w:r w:rsidR="009E449C" w:rsidRPr="00BF2800">
        <w:rPr>
          <w:sz w:val="24"/>
          <w:szCs w:val="24"/>
          <w:lang w:val="vi-VN"/>
        </w:rPr>
        <w:t xml:space="preserve">mục đích </w:t>
      </w:r>
      <w:r w:rsidR="00E20BE5" w:rsidRPr="00BF2800">
        <w:rPr>
          <w:sz w:val="24"/>
          <w:szCs w:val="24"/>
          <w:lang w:val="vi-VN"/>
        </w:rPr>
        <w:t>sinh lời</w:t>
      </w:r>
      <w:r w:rsidR="00C3251D" w:rsidRPr="00BF2800">
        <w:rPr>
          <w:sz w:val="24"/>
          <w:szCs w:val="24"/>
          <w:lang w:val="vi-VN"/>
        </w:rPr>
        <w:t>”</w:t>
      </w:r>
      <w:r w:rsidR="009E449C" w:rsidRPr="00BF2800">
        <w:rPr>
          <w:sz w:val="24"/>
          <w:szCs w:val="24"/>
          <w:lang w:val="vi-VN"/>
        </w:rPr>
        <w:t>.</w:t>
      </w:r>
      <w:r w:rsidR="00F204E1" w:rsidRPr="00BF2800">
        <w:rPr>
          <w:sz w:val="24"/>
          <w:szCs w:val="24"/>
          <w:lang w:val="vi-VN"/>
        </w:rPr>
        <w:t xml:space="preserve"> </w:t>
      </w:r>
      <w:r w:rsidR="009E449C" w:rsidRPr="00BF2800">
        <w:rPr>
          <w:sz w:val="24"/>
          <w:szCs w:val="24"/>
          <w:lang w:val="vi-VN"/>
        </w:rPr>
        <w:t xml:space="preserve">Tuy nhiên, các giao dịch chuyển số dư giữa các tài khoản của các công ty trong </w:t>
      </w:r>
      <w:r w:rsidR="00E20BE5" w:rsidRPr="00BF2800">
        <w:rPr>
          <w:sz w:val="24"/>
          <w:szCs w:val="24"/>
          <w:lang w:val="vi-VN"/>
        </w:rPr>
        <w:t xml:space="preserve">cùng một </w:t>
      </w:r>
      <w:r w:rsidR="009E449C" w:rsidRPr="00BF2800">
        <w:rPr>
          <w:sz w:val="24"/>
          <w:szCs w:val="24"/>
          <w:lang w:val="vi-VN"/>
        </w:rPr>
        <w:t>tập đoàn không</w:t>
      </w:r>
      <w:r w:rsidR="00E20BE5" w:rsidRPr="00BF2800">
        <w:rPr>
          <w:sz w:val="24"/>
          <w:szCs w:val="24"/>
          <w:lang w:val="vi-VN"/>
        </w:rPr>
        <w:t xml:space="preserve"> nên</w:t>
      </w:r>
      <w:r w:rsidR="009E449C" w:rsidRPr="00BF2800">
        <w:rPr>
          <w:sz w:val="24"/>
          <w:szCs w:val="24"/>
          <w:lang w:val="vi-VN"/>
        </w:rPr>
        <w:t xml:space="preserve"> được xem là</w:t>
      </w:r>
      <w:r w:rsidR="00E20BE5" w:rsidRPr="00BF2800">
        <w:rPr>
          <w:sz w:val="24"/>
          <w:szCs w:val="24"/>
          <w:lang w:val="vi-VN"/>
        </w:rPr>
        <w:t xml:space="preserve"> hoạt động</w:t>
      </w:r>
      <w:r w:rsidR="009E449C" w:rsidRPr="00BF2800">
        <w:rPr>
          <w:sz w:val="24"/>
          <w:szCs w:val="24"/>
          <w:lang w:val="vi-VN"/>
        </w:rPr>
        <w:t xml:space="preserve"> cho vay nhằm mục đích </w:t>
      </w:r>
      <w:r w:rsidR="00E20BE5" w:rsidRPr="00BF2800">
        <w:rPr>
          <w:sz w:val="24"/>
          <w:szCs w:val="24"/>
          <w:lang w:val="vi-VN"/>
        </w:rPr>
        <w:t>sinh lời</w:t>
      </w:r>
      <w:r w:rsidR="009E449C" w:rsidRPr="00BF2800">
        <w:rPr>
          <w:sz w:val="24"/>
          <w:szCs w:val="24"/>
          <w:lang w:val="vi-VN"/>
        </w:rPr>
        <w:t xml:space="preserve"> và vì thế, không phải là hoạt động ngân hàng</w:t>
      </w:r>
      <w:r w:rsidR="00173A3C" w:rsidRPr="00BF2800">
        <w:rPr>
          <w:sz w:val="24"/>
          <w:szCs w:val="24"/>
          <w:lang w:val="vi-VN"/>
        </w:rPr>
        <w:t>.</w:t>
      </w:r>
    </w:p>
    <w:p w:rsidR="00F204E1" w:rsidRPr="0031693D" w:rsidRDefault="009E449C" w:rsidP="00C05A48">
      <w:pPr>
        <w:pStyle w:val="AOHead2"/>
        <w:tabs>
          <w:tab w:val="clear" w:pos="720"/>
        </w:tabs>
        <w:spacing w:line="240" w:lineRule="auto"/>
        <w:ind w:left="540" w:hanging="540"/>
        <w:rPr>
          <w:i/>
          <w:sz w:val="24"/>
          <w:szCs w:val="24"/>
          <w:lang w:val="vi-VN"/>
        </w:rPr>
      </w:pPr>
      <w:r w:rsidRPr="0031693D">
        <w:rPr>
          <w:i/>
          <w:sz w:val="24"/>
          <w:szCs w:val="24"/>
          <w:lang w:val="vi-VN"/>
        </w:rPr>
        <w:t xml:space="preserve">Các hoạt động cho vay theo quy định của Luật Doanh Nghiệp và </w:t>
      </w:r>
      <w:r w:rsidR="00345851" w:rsidRPr="0031693D">
        <w:rPr>
          <w:i/>
          <w:sz w:val="24"/>
          <w:szCs w:val="24"/>
          <w:lang w:val="vi-VN"/>
        </w:rPr>
        <w:t xml:space="preserve">Bộ </w:t>
      </w:r>
      <w:r w:rsidRPr="0031693D">
        <w:rPr>
          <w:i/>
          <w:sz w:val="24"/>
          <w:szCs w:val="24"/>
          <w:lang w:val="vi-VN"/>
        </w:rPr>
        <w:t xml:space="preserve">Luật Dân Sự </w:t>
      </w:r>
    </w:p>
    <w:p w:rsidR="00F204E1" w:rsidRPr="00BF2800" w:rsidRDefault="009E449C" w:rsidP="00C05A48">
      <w:pPr>
        <w:pStyle w:val="AODocTxtL1"/>
        <w:spacing w:line="240" w:lineRule="auto"/>
        <w:ind w:left="0"/>
        <w:rPr>
          <w:sz w:val="24"/>
          <w:szCs w:val="24"/>
          <w:lang w:val="vi-VN"/>
        </w:rPr>
      </w:pPr>
      <w:r w:rsidRPr="00BF2800">
        <w:rPr>
          <w:sz w:val="24"/>
          <w:szCs w:val="24"/>
          <w:lang w:val="vi-VN"/>
        </w:rPr>
        <w:t>Theo quy định</w:t>
      </w:r>
      <w:r w:rsidR="00511376" w:rsidRPr="00BF2800">
        <w:rPr>
          <w:sz w:val="24"/>
          <w:szCs w:val="24"/>
          <w:lang w:val="vi-VN"/>
        </w:rPr>
        <w:t xml:space="preserve"> tại khoản 2</w:t>
      </w:r>
      <w:r w:rsidRPr="00BF2800">
        <w:rPr>
          <w:sz w:val="24"/>
          <w:szCs w:val="24"/>
          <w:lang w:val="vi-VN"/>
        </w:rPr>
        <w:t xml:space="preserve"> Điều </w:t>
      </w:r>
      <w:r w:rsidR="00511376" w:rsidRPr="00BF2800">
        <w:rPr>
          <w:sz w:val="24"/>
          <w:szCs w:val="24"/>
          <w:lang w:val="vi-VN"/>
        </w:rPr>
        <w:t>7</w:t>
      </w:r>
      <w:r w:rsidR="00164573" w:rsidRPr="00BF2800">
        <w:rPr>
          <w:sz w:val="24"/>
          <w:szCs w:val="24"/>
          <w:lang w:val="vi-VN"/>
        </w:rPr>
        <w:t xml:space="preserve"> </w:t>
      </w:r>
      <w:r w:rsidRPr="00BF2800">
        <w:rPr>
          <w:sz w:val="24"/>
          <w:szCs w:val="24"/>
          <w:lang w:val="vi-VN"/>
        </w:rPr>
        <w:t xml:space="preserve">Luật </w:t>
      </w:r>
      <w:r w:rsidR="00511376" w:rsidRPr="00BF2800">
        <w:rPr>
          <w:sz w:val="24"/>
          <w:szCs w:val="24"/>
          <w:lang w:val="vi-VN"/>
        </w:rPr>
        <w:t xml:space="preserve">Doanh Nghiệp </w:t>
      </w:r>
      <w:r w:rsidRPr="00BF2800">
        <w:rPr>
          <w:sz w:val="24"/>
          <w:szCs w:val="24"/>
          <w:lang w:val="vi-VN"/>
        </w:rPr>
        <w:t xml:space="preserve">số </w:t>
      </w:r>
      <w:r w:rsidR="00164573" w:rsidRPr="00BF2800">
        <w:rPr>
          <w:sz w:val="24"/>
          <w:szCs w:val="24"/>
          <w:lang w:val="vi-VN"/>
        </w:rPr>
        <w:t xml:space="preserve">68/2014/QH13 </w:t>
      </w:r>
      <w:r w:rsidRPr="00BF2800">
        <w:rPr>
          <w:sz w:val="24"/>
          <w:szCs w:val="24"/>
          <w:lang w:val="vi-VN"/>
        </w:rPr>
        <w:t xml:space="preserve">được Quốc Hội thông qua ngày </w:t>
      </w:r>
      <w:r w:rsidR="00164573" w:rsidRPr="00BF2800">
        <w:rPr>
          <w:sz w:val="24"/>
          <w:szCs w:val="24"/>
          <w:lang w:val="vi-VN"/>
        </w:rPr>
        <w:t xml:space="preserve">26 </w:t>
      </w:r>
      <w:r w:rsidRPr="00BF2800">
        <w:rPr>
          <w:sz w:val="24"/>
          <w:szCs w:val="24"/>
          <w:lang w:val="vi-VN"/>
        </w:rPr>
        <w:t xml:space="preserve">tháng 11 năm </w:t>
      </w:r>
      <w:r w:rsidR="00164573" w:rsidRPr="00BF2800">
        <w:rPr>
          <w:sz w:val="24"/>
          <w:szCs w:val="24"/>
          <w:lang w:val="vi-VN"/>
        </w:rPr>
        <w:t xml:space="preserve">2014, </w:t>
      </w:r>
      <w:r w:rsidRPr="00BF2800">
        <w:rPr>
          <w:sz w:val="24"/>
          <w:szCs w:val="24"/>
          <w:lang w:val="vi-VN"/>
        </w:rPr>
        <w:t xml:space="preserve">một công ty có quyền </w:t>
      </w:r>
      <w:r w:rsidR="00511376" w:rsidRPr="00BF2800">
        <w:rPr>
          <w:sz w:val="24"/>
          <w:szCs w:val="24"/>
          <w:lang w:val="vi-VN"/>
        </w:rPr>
        <w:t xml:space="preserve">lựa </w:t>
      </w:r>
      <w:r w:rsidRPr="00BF2800">
        <w:rPr>
          <w:sz w:val="24"/>
          <w:szCs w:val="24"/>
          <w:lang w:val="vi-VN"/>
        </w:rPr>
        <w:t>chọn hình thức, phương thức huy động, phân bổ và sử dụng vốn.</w:t>
      </w:r>
      <w:r w:rsidR="00F204E1" w:rsidRPr="00BF2800">
        <w:rPr>
          <w:sz w:val="24"/>
          <w:szCs w:val="24"/>
          <w:lang w:val="vi-VN"/>
        </w:rPr>
        <w:t xml:space="preserve"> </w:t>
      </w:r>
      <w:r w:rsidRPr="00BF2800">
        <w:rPr>
          <w:sz w:val="24"/>
          <w:szCs w:val="24"/>
          <w:lang w:val="vi-VN"/>
        </w:rPr>
        <w:t xml:space="preserve">Hơn nữa, không có quy định nào </w:t>
      </w:r>
      <w:r w:rsidR="00511376" w:rsidRPr="00BF2800">
        <w:rPr>
          <w:sz w:val="24"/>
          <w:szCs w:val="24"/>
          <w:lang w:val="vi-VN"/>
        </w:rPr>
        <w:t xml:space="preserve">hạn chế </w:t>
      </w:r>
      <w:r w:rsidRPr="00BF2800">
        <w:rPr>
          <w:sz w:val="24"/>
          <w:szCs w:val="24"/>
          <w:lang w:val="vi-VN"/>
        </w:rPr>
        <w:t>các công ty</w:t>
      </w:r>
      <w:r w:rsidR="00511376" w:rsidRPr="00BF2800">
        <w:rPr>
          <w:sz w:val="24"/>
          <w:szCs w:val="24"/>
          <w:lang w:val="vi-VN"/>
        </w:rPr>
        <w:t xml:space="preserve"> trong việc </w:t>
      </w:r>
      <w:r w:rsidRPr="00BF2800">
        <w:rPr>
          <w:sz w:val="24"/>
          <w:szCs w:val="24"/>
          <w:lang w:val="vi-VN"/>
        </w:rPr>
        <w:t>đ</w:t>
      </w:r>
      <w:r w:rsidR="00511376" w:rsidRPr="00BF2800">
        <w:rPr>
          <w:sz w:val="24"/>
          <w:szCs w:val="24"/>
          <w:lang w:val="vi-VN"/>
        </w:rPr>
        <w:t>i</w:t>
      </w:r>
      <w:r w:rsidRPr="00BF2800">
        <w:rPr>
          <w:sz w:val="24"/>
          <w:szCs w:val="24"/>
          <w:lang w:val="vi-VN"/>
        </w:rPr>
        <w:t xml:space="preserve"> vay từ </w:t>
      </w:r>
      <w:r w:rsidR="00345851" w:rsidRPr="00BF2800">
        <w:rPr>
          <w:sz w:val="24"/>
          <w:szCs w:val="24"/>
          <w:lang w:val="vi-VN"/>
        </w:rPr>
        <w:t>hoặc cho các công ty khác vay</w:t>
      </w:r>
      <w:r w:rsidR="00F204E1" w:rsidRPr="00BF2800">
        <w:rPr>
          <w:sz w:val="24"/>
          <w:szCs w:val="24"/>
          <w:lang w:val="vi-VN"/>
        </w:rPr>
        <w:t xml:space="preserve">. </w:t>
      </w:r>
      <w:r w:rsidR="00345851" w:rsidRPr="00BF2800">
        <w:rPr>
          <w:sz w:val="24"/>
          <w:szCs w:val="24"/>
          <w:lang w:val="vi-VN"/>
        </w:rPr>
        <w:t xml:space="preserve">Điều này được ngầm hiểu rằng các công ty có thể vay từ hoặc cho các công ty khác vay nếu </w:t>
      </w:r>
      <w:r w:rsidR="002912A0" w:rsidRPr="00BF2800">
        <w:rPr>
          <w:sz w:val="24"/>
          <w:szCs w:val="24"/>
          <w:lang w:val="vi-VN"/>
        </w:rPr>
        <w:t>hoạt động vay và cho vay đó</w:t>
      </w:r>
      <w:r w:rsidR="00345851" w:rsidRPr="00BF2800">
        <w:rPr>
          <w:sz w:val="24"/>
          <w:szCs w:val="24"/>
          <w:lang w:val="vi-VN"/>
        </w:rPr>
        <w:t xml:space="preserve"> không bị cấm rõ ràng </w:t>
      </w:r>
      <w:r w:rsidR="000A1258" w:rsidRPr="00BF2800">
        <w:rPr>
          <w:sz w:val="24"/>
          <w:szCs w:val="24"/>
          <w:lang w:val="vi-VN"/>
        </w:rPr>
        <w:t>trong</w:t>
      </w:r>
      <w:r w:rsidR="00345851" w:rsidRPr="00BF2800">
        <w:rPr>
          <w:sz w:val="24"/>
          <w:szCs w:val="24"/>
          <w:lang w:val="vi-VN"/>
        </w:rPr>
        <w:t xml:space="preserve"> luật </w:t>
      </w:r>
      <w:r w:rsidR="00814EF6" w:rsidRPr="00BF2800">
        <w:rPr>
          <w:sz w:val="24"/>
          <w:szCs w:val="24"/>
          <w:lang w:val="vi-VN"/>
        </w:rPr>
        <w:t>(</w:t>
      </w:r>
      <w:r w:rsidR="00345851" w:rsidRPr="00BF2800">
        <w:rPr>
          <w:sz w:val="24"/>
          <w:szCs w:val="24"/>
          <w:lang w:val="vi-VN"/>
        </w:rPr>
        <w:t xml:space="preserve">nghĩa là, không có mục đích </w:t>
      </w:r>
      <w:r w:rsidR="002912A0" w:rsidRPr="00BF2800">
        <w:rPr>
          <w:sz w:val="24"/>
          <w:szCs w:val="24"/>
          <w:lang w:val="vi-VN"/>
        </w:rPr>
        <w:t>sinh lời</w:t>
      </w:r>
      <w:r w:rsidR="00345851" w:rsidRPr="00BF2800">
        <w:rPr>
          <w:sz w:val="24"/>
          <w:szCs w:val="24"/>
          <w:lang w:val="vi-VN"/>
        </w:rPr>
        <w:t xml:space="preserve"> do mục đích này khiến cho các hoạt động cho vay rơi vào phạm vi hạn chế của </w:t>
      </w:r>
      <w:r w:rsidR="002912A0" w:rsidRPr="00BF2800">
        <w:rPr>
          <w:sz w:val="24"/>
          <w:szCs w:val="24"/>
          <w:lang w:val="vi-VN"/>
        </w:rPr>
        <w:t xml:space="preserve">khoản 2 </w:t>
      </w:r>
      <w:r w:rsidR="00345851" w:rsidRPr="00BF2800">
        <w:rPr>
          <w:sz w:val="24"/>
          <w:szCs w:val="24"/>
          <w:lang w:val="vi-VN"/>
        </w:rPr>
        <w:t xml:space="preserve">Điều </w:t>
      </w:r>
      <w:r w:rsidR="00814EF6" w:rsidRPr="00BF2800">
        <w:rPr>
          <w:sz w:val="24"/>
          <w:szCs w:val="24"/>
          <w:lang w:val="vi-VN"/>
        </w:rPr>
        <w:t xml:space="preserve">8 </w:t>
      </w:r>
      <w:r w:rsidR="00345851" w:rsidRPr="00BF2800">
        <w:rPr>
          <w:sz w:val="24"/>
          <w:szCs w:val="24"/>
          <w:lang w:val="vi-VN"/>
        </w:rPr>
        <w:t>Luật Các Tổ Chức Tín Dụng</w:t>
      </w:r>
      <w:r w:rsidR="000A1258" w:rsidRPr="00BF2800">
        <w:rPr>
          <w:sz w:val="24"/>
          <w:szCs w:val="24"/>
          <w:lang w:val="vi-VN"/>
        </w:rPr>
        <w:t xml:space="preserve"> Năm 2010</w:t>
      </w:r>
      <w:r w:rsidR="00345851" w:rsidRPr="00BF2800">
        <w:rPr>
          <w:sz w:val="24"/>
          <w:szCs w:val="24"/>
          <w:lang w:val="vi-VN"/>
        </w:rPr>
        <w:t xml:space="preserve"> như </w:t>
      </w:r>
      <w:r w:rsidR="002912A0" w:rsidRPr="00BF2800">
        <w:rPr>
          <w:sz w:val="24"/>
          <w:szCs w:val="24"/>
          <w:lang w:val="vi-VN"/>
        </w:rPr>
        <w:t>đã</w:t>
      </w:r>
      <w:r w:rsidR="00345851" w:rsidRPr="00BF2800">
        <w:rPr>
          <w:sz w:val="24"/>
          <w:szCs w:val="24"/>
          <w:lang w:val="vi-VN"/>
        </w:rPr>
        <w:t xml:space="preserve"> nêu</w:t>
      </w:r>
      <w:r w:rsidR="002912A0" w:rsidRPr="00BF2800">
        <w:rPr>
          <w:sz w:val="24"/>
          <w:szCs w:val="24"/>
          <w:lang w:val="vi-VN"/>
        </w:rPr>
        <w:t xml:space="preserve"> ở</w:t>
      </w:r>
      <w:r w:rsidR="00345851" w:rsidRPr="00BF2800">
        <w:rPr>
          <w:sz w:val="24"/>
          <w:szCs w:val="24"/>
          <w:lang w:val="vi-VN"/>
        </w:rPr>
        <w:t xml:space="preserve"> trên</w:t>
      </w:r>
      <w:r w:rsidR="002912A0" w:rsidRPr="00BF2800">
        <w:rPr>
          <w:sz w:val="24"/>
          <w:szCs w:val="24"/>
          <w:lang w:val="vi-VN"/>
        </w:rPr>
        <w:t>)</w:t>
      </w:r>
      <w:r w:rsidR="00F204E1" w:rsidRPr="00BF2800">
        <w:rPr>
          <w:sz w:val="24"/>
          <w:szCs w:val="24"/>
          <w:lang w:val="vi-VN"/>
        </w:rPr>
        <w:t>.</w:t>
      </w:r>
      <w:r w:rsidR="007019B8" w:rsidRPr="00BF2800">
        <w:rPr>
          <w:sz w:val="24"/>
          <w:szCs w:val="24"/>
          <w:lang w:val="vi-VN"/>
        </w:rPr>
        <w:t xml:space="preserve"> </w:t>
      </w:r>
    </w:p>
    <w:p w:rsidR="008722A3" w:rsidRPr="00BF2800" w:rsidRDefault="00345851" w:rsidP="00C05A48">
      <w:pPr>
        <w:pStyle w:val="AODocTxtL1"/>
        <w:spacing w:line="240" w:lineRule="auto"/>
        <w:ind w:left="0"/>
        <w:rPr>
          <w:sz w:val="24"/>
          <w:szCs w:val="24"/>
          <w:lang w:val="vi-VN"/>
        </w:rPr>
      </w:pPr>
      <w:r w:rsidRPr="00BF2800">
        <w:rPr>
          <w:sz w:val="24"/>
          <w:szCs w:val="24"/>
          <w:lang w:val="vi-VN"/>
        </w:rPr>
        <w:t xml:space="preserve">Ngoài ra, Bộ Luật Dân Sự điều chỉnh mối quan hệ dân sự tại Việt Nam cho phép chủ sở hữu tài sản được thực hiện </w:t>
      </w:r>
      <w:r w:rsidR="007930DB" w:rsidRPr="00BF2800">
        <w:rPr>
          <w:sz w:val="24"/>
          <w:szCs w:val="24"/>
          <w:lang w:val="vi-VN"/>
        </w:rPr>
        <w:t>mọi hành vi theo ý chí của mình đối với tài sản</w:t>
      </w:r>
      <w:r w:rsidR="002912A0" w:rsidRPr="00BF2800">
        <w:rPr>
          <w:sz w:val="24"/>
          <w:szCs w:val="24"/>
          <w:lang w:val="vi-VN"/>
        </w:rPr>
        <w:t xml:space="preserve"> thuộc sở mình</w:t>
      </w:r>
      <w:r w:rsidR="007930DB" w:rsidRPr="00BF2800">
        <w:rPr>
          <w:sz w:val="24"/>
          <w:szCs w:val="24"/>
          <w:lang w:val="vi-VN"/>
        </w:rPr>
        <w:t xml:space="preserve"> nhưng </w:t>
      </w:r>
      <w:r w:rsidR="002912A0" w:rsidRPr="00BF2800">
        <w:rPr>
          <w:sz w:val="24"/>
          <w:szCs w:val="24"/>
          <w:lang w:val="vi-VN"/>
        </w:rPr>
        <w:t>“</w:t>
      </w:r>
      <w:r w:rsidR="007930DB" w:rsidRPr="00BF2800">
        <w:rPr>
          <w:sz w:val="24"/>
          <w:szCs w:val="24"/>
          <w:lang w:val="vi-VN"/>
        </w:rPr>
        <w:t xml:space="preserve">không </w:t>
      </w:r>
      <w:r w:rsidR="007930DB" w:rsidRPr="00BF2800">
        <w:rPr>
          <w:sz w:val="24"/>
          <w:szCs w:val="24"/>
          <w:lang w:val="vi-VN"/>
        </w:rPr>
        <w:lastRenderedPageBreak/>
        <w:t>được trái với quy định của luật, gây thiệt hại hoặc làm ảnh hưởng đến lợi ích quốc gia, dân tộc, lợi ích công cộng, quyền và lợi ích hợp pháp của người khác</w:t>
      </w:r>
      <w:r w:rsidR="00F76432" w:rsidRPr="00BF2800">
        <w:rPr>
          <w:sz w:val="24"/>
          <w:szCs w:val="24"/>
          <w:lang w:val="vi-VN"/>
        </w:rPr>
        <w:t>”</w:t>
      </w:r>
      <w:r w:rsidR="00F76432" w:rsidRPr="00BF2800">
        <w:rPr>
          <w:rStyle w:val="FootnoteReference"/>
          <w:sz w:val="24"/>
          <w:szCs w:val="24"/>
          <w:lang w:val="vi-VN"/>
        </w:rPr>
        <w:footnoteReference w:id="2"/>
      </w:r>
      <w:r w:rsidR="00D1733B" w:rsidRPr="00BF2800">
        <w:rPr>
          <w:sz w:val="24"/>
          <w:szCs w:val="24"/>
          <w:lang w:val="vi-VN"/>
        </w:rPr>
        <w:t>.</w:t>
      </w:r>
      <w:r w:rsidR="00233F2F" w:rsidRPr="00BF2800">
        <w:rPr>
          <w:sz w:val="24"/>
          <w:szCs w:val="24"/>
          <w:lang w:val="vi-VN"/>
        </w:rPr>
        <w:t xml:space="preserve"> </w:t>
      </w:r>
      <w:r w:rsidR="007930DB" w:rsidRPr="00BF2800">
        <w:rPr>
          <w:sz w:val="24"/>
          <w:szCs w:val="24"/>
          <w:lang w:val="vi-VN"/>
        </w:rPr>
        <w:t xml:space="preserve">Như </w:t>
      </w:r>
      <w:r w:rsidR="000A1258" w:rsidRPr="00BF2800">
        <w:rPr>
          <w:sz w:val="24"/>
          <w:szCs w:val="24"/>
          <w:lang w:val="vi-VN"/>
        </w:rPr>
        <w:t>đã</w:t>
      </w:r>
      <w:r w:rsidR="007930DB" w:rsidRPr="00BF2800">
        <w:rPr>
          <w:sz w:val="24"/>
          <w:szCs w:val="24"/>
          <w:lang w:val="vi-VN"/>
        </w:rPr>
        <w:t xml:space="preserve"> nêu</w:t>
      </w:r>
      <w:r w:rsidR="000A1258" w:rsidRPr="00BF2800">
        <w:rPr>
          <w:sz w:val="24"/>
          <w:szCs w:val="24"/>
          <w:lang w:val="vi-VN"/>
        </w:rPr>
        <w:t xml:space="preserve"> ở</w:t>
      </w:r>
      <w:r w:rsidR="007930DB" w:rsidRPr="00BF2800">
        <w:rPr>
          <w:sz w:val="24"/>
          <w:szCs w:val="24"/>
          <w:lang w:val="vi-VN"/>
        </w:rPr>
        <w:t xml:space="preserve"> trên</w:t>
      </w:r>
      <w:r w:rsidR="00164573" w:rsidRPr="00BF2800">
        <w:rPr>
          <w:sz w:val="24"/>
          <w:szCs w:val="24"/>
          <w:lang w:val="vi-VN"/>
        </w:rPr>
        <w:t xml:space="preserve">, </w:t>
      </w:r>
      <w:r w:rsidR="007930DB" w:rsidRPr="00BF2800">
        <w:rPr>
          <w:sz w:val="24"/>
          <w:szCs w:val="24"/>
          <w:lang w:val="vi-VN"/>
        </w:rPr>
        <w:t xml:space="preserve">mục đích của </w:t>
      </w:r>
      <w:r w:rsidR="006D7B60" w:rsidRPr="00BF2800">
        <w:rPr>
          <w:sz w:val="24"/>
          <w:szCs w:val="24"/>
          <w:lang w:val="vi-VN"/>
        </w:rPr>
        <w:t xml:space="preserve">phương thức kết chuyển tiền mặt </w:t>
      </w:r>
      <w:r w:rsidR="007930DB" w:rsidRPr="00BF2800">
        <w:rPr>
          <w:sz w:val="24"/>
          <w:szCs w:val="24"/>
          <w:lang w:val="vi-VN"/>
        </w:rPr>
        <w:t>là tối đa hóa việc sử dụng vốn sẵn có</w:t>
      </w:r>
      <w:r w:rsidR="00751806" w:rsidRPr="00BF2800">
        <w:rPr>
          <w:rStyle w:val="FootnoteReference"/>
          <w:sz w:val="24"/>
          <w:szCs w:val="24"/>
          <w:lang w:val="vi-VN"/>
        </w:rPr>
        <w:footnoteReference w:id="3"/>
      </w:r>
      <w:r w:rsidR="00233F2F" w:rsidRPr="00BF2800">
        <w:rPr>
          <w:sz w:val="24"/>
          <w:szCs w:val="24"/>
          <w:lang w:val="vi-VN"/>
        </w:rPr>
        <w:t xml:space="preserve"> </w:t>
      </w:r>
      <w:r w:rsidR="007930DB" w:rsidRPr="00BF2800">
        <w:rPr>
          <w:sz w:val="24"/>
          <w:szCs w:val="24"/>
          <w:lang w:val="vi-VN"/>
        </w:rPr>
        <w:t>của tập đoàn trong các hoạt động hàng ngày của tập đoàn và việc sử dụng vốn sẵn có đó không gây ra bất kỳ thiệt hại nào đến lợi ích quốc gia, dân tộc, lợi ích công cộng hoặc bất kỳ người nào khác</w:t>
      </w:r>
      <w:r w:rsidR="00274107" w:rsidRPr="00BF2800">
        <w:rPr>
          <w:sz w:val="24"/>
          <w:szCs w:val="24"/>
          <w:lang w:val="vi-VN"/>
        </w:rPr>
        <w:t xml:space="preserve">. </w:t>
      </w:r>
      <w:r w:rsidR="000A1258" w:rsidRPr="00BF2800">
        <w:rPr>
          <w:sz w:val="24"/>
          <w:szCs w:val="24"/>
          <w:lang w:val="vi-VN"/>
        </w:rPr>
        <w:t>Việc một tập đoàn</w:t>
      </w:r>
      <w:r w:rsidR="007930DB" w:rsidRPr="00BF2800">
        <w:rPr>
          <w:sz w:val="24"/>
          <w:szCs w:val="24"/>
          <w:lang w:val="vi-VN"/>
        </w:rPr>
        <w:t xml:space="preserve"> sử dụng sản phẩm </w:t>
      </w:r>
      <w:r w:rsidR="006D7B60" w:rsidRPr="00BF2800">
        <w:rPr>
          <w:sz w:val="24"/>
          <w:szCs w:val="24"/>
          <w:lang w:val="vi-VN"/>
        </w:rPr>
        <w:t xml:space="preserve">kết chuyển tiền mặt </w:t>
      </w:r>
      <w:r w:rsidR="007930DB" w:rsidRPr="00BF2800">
        <w:rPr>
          <w:sz w:val="24"/>
          <w:szCs w:val="24"/>
          <w:lang w:val="vi-VN"/>
        </w:rPr>
        <w:t xml:space="preserve">như là </w:t>
      </w:r>
      <w:r w:rsidR="006D7B60" w:rsidRPr="00BF2800">
        <w:rPr>
          <w:sz w:val="24"/>
          <w:szCs w:val="24"/>
          <w:lang w:val="vi-VN"/>
        </w:rPr>
        <w:t xml:space="preserve">một cách </w:t>
      </w:r>
      <w:r w:rsidR="007930DB" w:rsidRPr="00BF2800">
        <w:rPr>
          <w:sz w:val="24"/>
          <w:szCs w:val="24"/>
          <w:lang w:val="vi-VN"/>
        </w:rPr>
        <w:t xml:space="preserve">phân bổ và sử dụng vốn để tối ưu hóa </w:t>
      </w:r>
      <w:r w:rsidR="006D7B60" w:rsidRPr="00BF2800">
        <w:rPr>
          <w:sz w:val="24"/>
          <w:szCs w:val="24"/>
          <w:lang w:val="vi-VN"/>
        </w:rPr>
        <w:t>tài chính</w:t>
      </w:r>
      <w:r w:rsidR="007930DB" w:rsidRPr="00BF2800">
        <w:rPr>
          <w:sz w:val="24"/>
          <w:szCs w:val="24"/>
          <w:lang w:val="vi-VN"/>
        </w:rPr>
        <w:t xml:space="preserve"> của mình</w:t>
      </w:r>
      <w:r w:rsidR="004B1A66" w:rsidRPr="00BF2800">
        <w:rPr>
          <w:sz w:val="24"/>
          <w:szCs w:val="24"/>
          <w:lang w:val="vi-VN"/>
        </w:rPr>
        <w:t xml:space="preserve">. </w:t>
      </w:r>
      <w:r w:rsidR="007930DB" w:rsidRPr="00BF2800">
        <w:rPr>
          <w:sz w:val="24"/>
          <w:szCs w:val="24"/>
          <w:lang w:val="vi-VN"/>
        </w:rPr>
        <w:t>Vì thế</w:t>
      </w:r>
      <w:r w:rsidR="004B1A66" w:rsidRPr="00BF2800">
        <w:rPr>
          <w:sz w:val="24"/>
          <w:szCs w:val="24"/>
          <w:lang w:val="vi-VN"/>
        </w:rPr>
        <w:t>,</w:t>
      </w:r>
      <w:r w:rsidR="00751806" w:rsidRPr="00BF2800">
        <w:rPr>
          <w:sz w:val="24"/>
          <w:szCs w:val="24"/>
          <w:lang w:val="vi-VN"/>
        </w:rPr>
        <w:t xml:space="preserve"> </w:t>
      </w:r>
      <w:r w:rsidR="006D7B60" w:rsidRPr="00BF2800">
        <w:rPr>
          <w:sz w:val="24"/>
          <w:szCs w:val="24"/>
          <w:lang w:val="vi-VN"/>
        </w:rPr>
        <w:t xml:space="preserve">phương thức kết chuyển tiền mặt </w:t>
      </w:r>
      <w:r w:rsidR="007930DB" w:rsidRPr="00BF2800">
        <w:rPr>
          <w:sz w:val="24"/>
          <w:szCs w:val="24"/>
          <w:lang w:val="vi-VN"/>
        </w:rPr>
        <w:t xml:space="preserve">không nên được hiểu là hoạt động ngân hàng trong phạm vi định nghĩa theo </w:t>
      </w:r>
      <w:r w:rsidR="00F9779C" w:rsidRPr="00BF2800">
        <w:rPr>
          <w:sz w:val="24"/>
          <w:szCs w:val="24"/>
          <w:lang w:val="vi-VN"/>
        </w:rPr>
        <w:t>Luật Các Tổ Chức Tín Dụng</w:t>
      </w:r>
      <w:r w:rsidR="00751806" w:rsidRPr="00BF2800">
        <w:rPr>
          <w:sz w:val="24"/>
          <w:szCs w:val="24"/>
          <w:lang w:val="vi-VN"/>
        </w:rPr>
        <w:t xml:space="preserve"> </w:t>
      </w:r>
      <w:r w:rsidR="006D7B60" w:rsidRPr="00BF2800">
        <w:rPr>
          <w:sz w:val="24"/>
          <w:szCs w:val="24"/>
          <w:lang w:val="vi-VN"/>
        </w:rPr>
        <w:t xml:space="preserve">Năm </w:t>
      </w:r>
      <w:r w:rsidR="00751806" w:rsidRPr="00BF2800">
        <w:rPr>
          <w:sz w:val="24"/>
          <w:szCs w:val="24"/>
          <w:lang w:val="vi-VN"/>
        </w:rPr>
        <w:t xml:space="preserve">2010. </w:t>
      </w:r>
      <w:r w:rsidR="00814EF6" w:rsidRPr="00BF2800">
        <w:rPr>
          <w:sz w:val="24"/>
          <w:szCs w:val="24"/>
          <w:lang w:val="vi-VN"/>
        </w:rPr>
        <w:t xml:space="preserve">  </w:t>
      </w:r>
    </w:p>
    <w:p w:rsidR="00814EF6" w:rsidRPr="00BF2800" w:rsidRDefault="006D7B60" w:rsidP="00C05A48">
      <w:pPr>
        <w:pStyle w:val="AODocTxtL1"/>
        <w:spacing w:line="240" w:lineRule="auto"/>
        <w:ind w:left="0"/>
        <w:rPr>
          <w:sz w:val="24"/>
          <w:szCs w:val="24"/>
          <w:lang w:val="vi-VN"/>
        </w:rPr>
      </w:pPr>
      <w:r w:rsidRPr="00BF2800">
        <w:rPr>
          <w:sz w:val="24"/>
          <w:szCs w:val="24"/>
          <w:lang w:val="vi-VN"/>
        </w:rPr>
        <w:t>Cụ thể hơn,</w:t>
      </w:r>
      <w:r w:rsidR="00C74A6E" w:rsidRPr="00BF2800">
        <w:rPr>
          <w:sz w:val="24"/>
          <w:szCs w:val="24"/>
          <w:lang w:val="vi-VN"/>
        </w:rPr>
        <w:t xml:space="preserve"> </w:t>
      </w:r>
      <w:r w:rsidR="007930DB" w:rsidRPr="00BF2800">
        <w:rPr>
          <w:sz w:val="24"/>
          <w:szCs w:val="24"/>
          <w:lang w:val="vi-VN"/>
        </w:rPr>
        <w:t>Bộ Luật Dân Sự</w:t>
      </w:r>
      <w:r w:rsidRPr="00BF2800">
        <w:rPr>
          <w:sz w:val="24"/>
          <w:szCs w:val="24"/>
          <w:lang w:val="vi-VN"/>
        </w:rPr>
        <w:t xml:space="preserve"> còn</w:t>
      </w:r>
      <w:r w:rsidR="007930DB" w:rsidRPr="00BF2800">
        <w:rPr>
          <w:sz w:val="24"/>
          <w:szCs w:val="24"/>
          <w:lang w:val="vi-VN"/>
        </w:rPr>
        <w:t xml:space="preserve"> cho phép</w:t>
      </w:r>
      <w:r w:rsidRPr="00BF2800">
        <w:rPr>
          <w:sz w:val="24"/>
          <w:szCs w:val="24"/>
          <w:lang w:val="vi-VN"/>
        </w:rPr>
        <w:t xml:space="preserve"> hoạt động</w:t>
      </w:r>
      <w:r w:rsidR="007930DB" w:rsidRPr="00BF2800">
        <w:rPr>
          <w:sz w:val="24"/>
          <w:szCs w:val="24"/>
          <w:lang w:val="vi-VN"/>
        </w:rPr>
        <w:t xml:space="preserve"> cho vay giữa các cá nhân </w:t>
      </w:r>
      <w:r w:rsidR="00C74A6E" w:rsidRPr="00BF2800">
        <w:rPr>
          <w:sz w:val="24"/>
          <w:szCs w:val="24"/>
          <w:lang w:val="vi-VN"/>
        </w:rPr>
        <w:t>và/hoặc tổ chức theo các hợp đồng vay.</w:t>
      </w:r>
      <w:r w:rsidR="00814EF6" w:rsidRPr="00BF2800">
        <w:rPr>
          <w:sz w:val="24"/>
          <w:szCs w:val="24"/>
          <w:lang w:val="vi-VN"/>
        </w:rPr>
        <w:t xml:space="preserve"> </w:t>
      </w:r>
      <w:r w:rsidR="00C74A6E" w:rsidRPr="00BF2800">
        <w:rPr>
          <w:sz w:val="24"/>
          <w:szCs w:val="24"/>
          <w:lang w:val="vi-VN"/>
        </w:rPr>
        <w:t xml:space="preserve">Lãi suất của </w:t>
      </w:r>
      <w:r w:rsidRPr="00BF2800">
        <w:rPr>
          <w:sz w:val="24"/>
          <w:szCs w:val="24"/>
          <w:lang w:val="vi-VN"/>
        </w:rPr>
        <w:t>khoản vay</w:t>
      </w:r>
      <w:r w:rsidR="00C74A6E" w:rsidRPr="00BF2800">
        <w:rPr>
          <w:sz w:val="24"/>
          <w:szCs w:val="24"/>
          <w:lang w:val="vi-VN"/>
        </w:rPr>
        <w:t xml:space="preserve"> đó không đượ</w:t>
      </w:r>
      <w:r w:rsidRPr="00BF2800">
        <w:rPr>
          <w:sz w:val="24"/>
          <w:szCs w:val="24"/>
          <w:lang w:val="vi-VN"/>
        </w:rPr>
        <w:t xml:space="preserve">c vượt </w:t>
      </w:r>
      <w:r w:rsidR="00C74A6E" w:rsidRPr="00BF2800">
        <w:rPr>
          <w:sz w:val="24"/>
          <w:szCs w:val="24"/>
          <w:lang w:val="vi-VN"/>
        </w:rPr>
        <w:t xml:space="preserve">quá </w:t>
      </w:r>
      <w:r w:rsidR="00814EF6" w:rsidRPr="00BF2800">
        <w:rPr>
          <w:sz w:val="24"/>
          <w:szCs w:val="24"/>
          <w:lang w:val="vi-VN"/>
        </w:rPr>
        <w:t xml:space="preserve">20% </w:t>
      </w:r>
      <w:r w:rsidR="00C74A6E" w:rsidRPr="00BF2800">
        <w:rPr>
          <w:sz w:val="24"/>
          <w:szCs w:val="24"/>
          <w:lang w:val="vi-VN"/>
        </w:rPr>
        <w:t>một năm</w:t>
      </w:r>
      <w:r w:rsidR="00814EF6" w:rsidRPr="00BF2800">
        <w:rPr>
          <w:sz w:val="24"/>
          <w:szCs w:val="24"/>
          <w:lang w:val="vi-VN"/>
        </w:rPr>
        <w:t>.</w:t>
      </w:r>
    </w:p>
    <w:p w:rsidR="00751806" w:rsidRPr="0031693D" w:rsidRDefault="00135081" w:rsidP="00C05A48">
      <w:pPr>
        <w:pStyle w:val="AOHead2"/>
        <w:tabs>
          <w:tab w:val="clear" w:pos="720"/>
        </w:tabs>
        <w:spacing w:line="240" w:lineRule="auto"/>
        <w:ind w:left="540" w:hanging="540"/>
        <w:rPr>
          <w:i/>
          <w:sz w:val="24"/>
          <w:szCs w:val="24"/>
          <w:lang w:val="vi-VN"/>
        </w:rPr>
      </w:pPr>
      <w:r w:rsidRPr="0031693D">
        <w:rPr>
          <w:i/>
          <w:sz w:val="24"/>
          <w:szCs w:val="24"/>
          <w:lang w:val="vi-VN"/>
        </w:rPr>
        <w:t xml:space="preserve">Các hoạt động cho vay được phép của các tổ chức không phải là các tổ chức tín dụng </w:t>
      </w:r>
    </w:p>
    <w:p w:rsidR="00F17DA4" w:rsidRPr="00BF2800" w:rsidRDefault="00135081" w:rsidP="00C05A48">
      <w:pPr>
        <w:pStyle w:val="AODocTxtL1"/>
        <w:spacing w:line="240" w:lineRule="auto"/>
        <w:ind w:left="0"/>
        <w:rPr>
          <w:sz w:val="24"/>
          <w:szCs w:val="24"/>
          <w:lang w:val="vi-VN"/>
        </w:rPr>
      </w:pPr>
      <w:r w:rsidRPr="00BF2800">
        <w:rPr>
          <w:sz w:val="24"/>
          <w:szCs w:val="24"/>
          <w:lang w:val="vi-VN"/>
        </w:rPr>
        <w:t>Ngoài ra</w:t>
      </w:r>
      <w:r w:rsidR="00751806" w:rsidRPr="00BF2800">
        <w:rPr>
          <w:sz w:val="24"/>
          <w:szCs w:val="24"/>
          <w:lang w:val="vi-VN"/>
        </w:rPr>
        <w:t xml:space="preserve">, </w:t>
      </w:r>
      <w:r w:rsidRPr="00BF2800">
        <w:rPr>
          <w:sz w:val="24"/>
          <w:szCs w:val="24"/>
          <w:lang w:val="vi-VN"/>
        </w:rPr>
        <w:t xml:space="preserve">theo quy định </w:t>
      </w:r>
      <w:r w:rsidR="006D7B60" w:rsidRPr="00BF2800">
        <w:rPr>
          <w:sz w:val="24"/>
          <w:szCs w:val="24"/>
          <w:lang w:val="vi-VN"/>
        </w:rPr>
        <w:t>tại khoản 2</w:t>
      </w:r>
      <w:r w:rsidRPr="00BF2800">
        <w:rPr>
          <w:sz w:val="24"/>
          <w:szCs w:val="24"/>
          <w:lang w:val="vi-VN"/>
        </w:rPr>
        <w:t xml:space="preserve"> Điều </w:t>
      </w:r>
      <w:r w:rsidR="0021178A" w:rsidRPr="00BF2800">
        <w:rPr>
          <w:sz w:val="24"/>
          <w:szCs w:val="24"/>
          <w:lang w:val="vi-VN"/>
        </w:rPr>
        <w:t>6</w:t>
      </w:r>
      <w:r w:rsidRPr="00BF2800">
        <w:rPr>
          <w:sz w:val="24"/>
          <w:szCs w:val="24"/>
          <w:lang w:val="vi-VN"/>
        </w:rPr>
        <w:t xml:space="preserve"> Nghị Định số </w:t>
      </w:r>
      <w:r w:rsidR="0021178A" w:rsidRPr="00BF2800">
        <w:rPr>
          <w:sz w:val="24"/>
          <w:szCs w:val="24"/>
          <w:lang w:val="vi-VN"/>
        </w:rPr>
        <w:t>222/2013/N</w:t>
      </w:r>
      <w:r w:rsidRPr="00BF2800">
        <w:rPr>
          <w:sz w:val="24"/>
          <w:szCs w:val="24"/>
          <w:lang w:val="vi-VN"/>
        </w:rPr>
        <w:t>Đ</w:t>
      </w:r>
      <w:r w:rsidR="0021178A" w:rsidRPr="00BF2800">
        <w:rPr>
          <w:sz w:val="24"/>
          <w:szCs w:val="24"/>
          <w:lang w:val="vi-VN"/>
        </w:rPr>
        <w:t>-CP</w:t>
      </w:r>
      <w:r w:rsidR="00592D48" w:rsidRPr="00BF2800">
        <w:rPr>
          <w:sz w:val="24"/>
          <w:szCs w:val="24"/>
          <w:lang w:val="vi-VN"/>
        </w:rPr>
        <w:t xml:space="preserve"> thanh toán bằng tiền mặt</w:t>
      </w:r>
      <w:r w:rsidR="00905FCE" w:rsidRPr="00BF2800">
        <w:rPr>
          <w:sz w:val="24"/>
          <w:szCs w:val="24"/>
          <w:lang w:val="vi-VN"/>
        </w:rPr>
        <w:t xml:space="preserve"> </w:t>
      </w:r>
      <w:r w:rsidRPr="00BF2800">
        <w:rPr>
          <w:sz w:val="24"/>
          <w:szCs w:val="24"/>
          <w:lang w:val="vi-VN"/>
        </w:rPr>
        <w:t xml:space="preserve">ngày </w:t>
      </w:r>
      <w:r w:rsidR="00905FCE" w:rsidRPr="00BF2800">
        <w:rPr>
          <w:sz w:val="24"/>
          <w:szCs w:val="24"/>
          <w:lang w:val="vi-VN"/>
        </w:rPr>
        <w:t xml:space="preserve">29 </w:t>
      </w:r>
      <w:r w:rsidRPr="00BF2800">
        <w:rPr>
          <w:sz w:val="24"/>
          <w:szCs w:val="24"/>
          <w:lang w:val="vi-VN"/>
        </w:rPr>
        <w:t xml:space="preserve">tháng 01 năm </w:t>
      </w:r>
      <w:r w:rsidR="00905FCE" w:rsidRPr="00BF2800">
        <w:rPr>
          <w:sz w:val="24"/>
          <w:szCs w:val="24"/>
          <w:lang w:val="vi-VN"/>
        </w:rPr>
        <w:t>2015</w:t>
      </w:r>
      <w:r w:rsidR="00C365D7" w:rsidRPr="00BF2800">
        <w:rPr>
          <w:sz w:val="24"/>
          <w:szCs w:val="24"/>
          <w:lang w:val="vi-VN"/>
        </w:rPr>
        <w:t xml:space="preserve"> </w:t>
      </w:r>
      <w:r w:rsidRPr="00BF2800">
        <w:rPr>
          <w:sz w:val="24"/>
          <w:szCs w:val="24"/>
          <w:lang w:val="vi-VN"/>
        </w:rPr>
        <w:t xml:space="preserve">của Chính Phủ và </w:t>
      </w:r>
      <w:r w:rsidR="00592D48" w:rsidRPr="00BF2800">
        <w:rPr>
          <w:sz w:val="24"/>
          <w:szCs w:val="24"/>
          <w:lang w:val="vi-VN"/>
        </w:rPr>
        <w:t xml:space="preserve">khoản 1 </w:t>
      </w:r>
      <w:r w:rsidRPr="00BF2800">
        <w:rPr>
          <w:sz w:val="24"/>
          <w:szCs w:val="24"/>
          <w:lang w:val="vi-VN"/>
        </w:rPr>
        <w:t xml:space="preserve">Điều </w:t>
      </w:r>
      <w:r w:rsidR="00C67E83" w:rsidRPr="00BF2800">
        <w:rPr>
          <w:sz w:val="24"/>
          <w:szCs w:val="24"/>
          <w:lang w:val="vi-VN"/>
        </w:rPr>
        <w:t>4</w:t>
      </w:r>
      <w:r w:rsidRPr="00BF2800">
        <w:rPr>
          <w:sz w:val="24"/>
          <w:szCs w:val="24"/>
          <w:lang w:val="vi-VN"/>
        </w:rPr>
        <w:t xml:space="preserve"> Thông Tư số </w:t>
      </w:r>
      <w:r w:rsidR="00C67E83" w:rsidRPr="00BF2800">
        <w:rPr>
          <w:sz w:val="24"/>
          <w:szCs w:val="24"/>
          <w:lang w:val="vi-VN"/>
        </w:rPr>
        <w:t>09/2015/TT-BTC</w:t>
      </w:r>
      <w:r w:rsidR="00905FCE" w:rsidRPr="00BF2800">
        <w:rPr>
          <w:sz w:val="24"/>
          <w:szCs w:val="24"/>
          <w:lang w:val="vi-VN"/>
        </w:rPr>
        <w:t xml:space="preserve"> </w:t>
      </w:r>
      <w:r w:rsidR="003C60C6" w:rsidRPr="00BF2800">
        <w:rPr>
          <w:sz w:val="24"/>
          <w:szCs w:val="24"/>
          <w:lang w:val="vi-VN"/>
        </w:rPr>
        <w:t xml:space="preserve">hướng dẫn giao dịch </w:t>
      </w:r>
      <w:r w:rsidR="00592D48" w:rsidRPr="00BF2800">
        <w:rPr>
          <w:sz w:val="24"/>
          <w:szCs w:val="24"/>
          <w:lang w:val="vi-VN"/>
        </w:rPr>
        <w:t>tài chính</w:t>
      </w:r>
      <w:r w:rsidR="003C60C6" w:rsidRPr="00BF2800">
        <w:rPr>
          <w:sz w:val="24"/>
          <w:szCs w:val="24"/>
          <w:lang w:val="vi-VN"/>
        </w:rPr>
        <w:t xml:space="preserve"> của doanh nghiệp theo quy định</w:t>
      </w:r>
      <w:r w:rsidR="00592D48" w:rsidRPr="00BF2800">
        <w:rPr>
          <w:sz w:val="24"/>
          <w:szCs w:val="24"/>
          <w:lang w:val="vi-VN"/>
        </w:rPr>
        <w:t xml:space="preserve"> tại</w:t>
      </w:r>
      <w:r w:rsidR="003C60C6" w:rsidRPr="00BF2800">
        <w:rPr>
          <w:sz w:val="24"/>
          <w:szCs w:val="24"/>
          <w:lang w:val="vi-VN"/>
        </w:rPr>
        <w:t xml:space="preserve"> Điều </w:t>
      </w:r>
      <w:r w:rsidR="00905FCE" w:rsidRPr="00BF2800">
        <w:rPr>
          <w:sz w:val="24"/>
          <w:szCs w:val="24"/>
          <w:lang w:val="vi-VN"/>
        </w:rPr>
        <w:t xml:space="preserve">6 </w:t>
      </w:r>
      <w:r w:rsidR="003C60C6" w:rsidRPr="00BF2800">
        <w:rPr>
          <w:sz w:val="24"/>
          <w:szCs w:val="24"/>
          <w:lang w:val="vi-VN"/>
        </w:rPr>
        <w:t xml:space="preserve">Nghị Định số </w:t>
      </w:r>
      <w:r w:rsidR="00905FCE" w:rsidRPr="00BF2800">
        <w:rPr>
          <w:sz w:val="24"/>
          <w:szCs w:val="24"/>
          <w:lang w:val="vi-VN"/>
        </w:rPr>
        <w:t>222/2013/N</w:t>
      </w:r>
      <w:r w:rsidR="003C60C6" w:rsidRPr="00BF2800">
        <w:rPr>
          <w:sz w:val="24"/>
          <w:szCs w:val="24"/>
          <w:lang w:val="vi-VN"/>
        </w:rPr>
        <w:t>Đ</w:t>
      </w:r>
      <w:r w:rsidR="00905FCE" w:rsidRPr="00BF2800">
        <w:rPr>
          <w:sz w:val="24"/>
          <w:szCs w:val="24"/>
          <w:lang w:val="vi-VN"/>
        </w:rPr>
        <w:t>-CP</w:t>
      </w:r>
      <w:r w:rsidR="00C67E83" w:rsidRPr="00BF2800">
        <w:rPr>
          <w:sz w:val="24"/>
          <w:szCs w:val="24"/>
          <w:lang w:val="vi-VN"/>
        </w:rPr>
        <w:t xml:space="preserve">, </w:t>
      </w:r>
      <w:r w:rsidR="003C60C6" w:rsidRPr="00BF2800">
        <w:rPr>
          <w:sz w:val="24"/>
          <w:szCs w:val="24"/>
          <w:lang w:val="vi-VN"/>
        </w:rPr>
        <w:t>một tổ chức không phải là tổ chức tín dụng được phép vay từ hoặc cho một tổ chức khác không phải là tổ chức tín dụng vay theo một trong những phương thức sau đây</w:t>
      </w:r>
      <w:r w:rsidR="008722A3" w:rsidRPr="00BF2800">
        <w:rPr>
          <w:sz w:val="24"/>
          <w:szCs w:val="24"/>
          <w:lang w:val="vi-VN"/>
        </w:rPr>
        <w:t>:</w:t>
      </w:r>
    </w:p>
    <w:p w:rsidR="008722A3" w:rsidRPr="00BF2800" w:rsidRDefault="003C60C6" w:rsidP="00C05A48">
      <w:pPr>
        <w:pStyle w:val="AODocTxtL1"/>
        <w:numPr>
          <w:ilvl w:val="0"/>
          <w:numId w:val="19"/>
        </w:numPr>
        <w:spacing w:line="240" w:lineRule="auto"/>
        <w:ind w:left="360"/>
        <w:rPr>
          <w:sz w:val="24"/>
          <w:szCs w:val="24"/>
          <w:lang w:val="vi-VN"/>
        </w:rPr>
      </w:pPr>
      <w:r w:rsidRPr="00BF2800">
        <w:rPr>
          <w:sz w:val="24"/>
          <w:szCs w:val="24"/>
          <w:lang w:val="vi-VN"/>
        </w:rPr>
        <w:t>Thanh toán bằng séc</w:t>
      </w:r>
      <w:r w:rsidR="008722A3" w:rsidRPr="00BF2800">
        <w:rPr>
          <w:sz w:val="24"/>
          <w:szCs w:val="24"/>
          <w:lang w:val="vi-VN"/>
        </w:rPr>
        <w:t>;</w:t>
      </w:r>
    </w:p>
    <w:p w:rsidR="008722A3" w:rsidRPr="00BF2800" w:rsidRDefault="003C60C6" w:rsidP="00C05A48">
      <w:pPr>
        <w:pStyle w:val="AODocTxtL1"/>
        <w:numPr>
          <w:ilvl w:val="0"/>
          <w:numId w:val="19"/>
        </w:numPr>
        <w:spacing w:line="240" w:lineRule="auto"/>
        <w:ind w:left="360"/>
        <w:rPr>
          <w:sz w:val="24"/>
          <w:szCs w:val="24"/>
          <w:lang w:val="vi-VN"/>
        </w:rPr>
      </w:pPr>
      <w:r w:rsidRPr="00BF2800">
        <w:rPr>
          <w:sz w:val="24"/>
          <w:szCs w:val="24"/>
          <w:lang w:val="vi-VN"/>
        </w:rPr>
        <w:t>Thanh toán bằng ủy nhiệm chi – chuyển tiền</w:t>
      </w:r>
      <w:r w:rsidR="008722A3" w:rsidRPr="00BF2800">
        <w:rPr>
          <w:sz w:val="24"/>
          <w:szCs w:val="24"/>
          <w:lang w:val="vi-VN"/>
        </w:rPr>
        <w:t xml:space="preserve">; </w:t>
      </w:r>
      <w:r w:rsidRPr="00BF2800">
        <w:rPr>
          <w:sz w:val="24"/>
          <w:szCs w:val="24"/>
          <w:lang w:val="vi-VN"/>
        </w:rPr>
        <w:t>hoặc</w:t>
      </w:r>
    </w:p>
    <w:p w:rsidR="008722A3" w:rsidRPr="00BF2800" w:rsidRDefault="003C60C6" w:rsidP="00C05A48">
      <w:pPr>
        <w:pStyle w:val="AODocTxtL1"/>
        <w:numPr>
          <w:ilvl w:val="0"/>
          <w:numId w:val="19"/>
        </w:numPr>
        <w:spacing w:line="240" w:lineRule="auto"/>
        <w:ind w:left="360"/>
        <w:rPr>
          <w:sz w:val="24"/>
          <w:szCs w:val="24"/>
          <w:lang w:val="vi-VN"/>
        </w:rPr>
      </w:pPr>
      <w:r w:rsidRPr="00BF2800">
        <w:rPr>
          <w:sz w:val="24"/>
          <w:szCs w:val="24"/>
          <w:lang w:val="vi-VN"/>
        </w:rPr>
        <w:t>Các hình thức thanh toán không sử dụng tiền mặt phù hợp khác theo quy định hiện hành</w:t>
      </w:r>
      <w:r w:rsidR="008722A3" w:rsidRPr="00BF2800">
        <w:rPr>
          <w:sz w:val="24"/>
          <w:szCs w:val="24"/>
          <w:lang w:val="vi-VN"/>
        </w:rPr>
        <w:t>.</w:t>
      </w:r>
    </w:p>
    <w:p w:rsidR="00367453" w:rsidRPr="00BF2800" w:rsidRDefault="00367453" w:rsidP="00C05A48">
      <w:pPr>
        <w:pStyle w:val="AODocTxtL1"/>
        <w:spacing w:line="240" w:lineRule="auto"/>
        <w:ind w:left="0"/>
        <w:rPr>
          <w:sz w:val="24"/>
          <w:szCs w:val="24"/>
          <w:lang w:val="vi-VN"/>
        </w:rPr>
      </w:pPr>
      <w:r w:rsidRPr="00BF2800">
        <w:rPr>
          <w:sz w:val="24"/>
          <w:szCs w:val="24"/>
          <w:lang w:val="vi-VN"/>
        </w:rPr>
        <w:t>Sự hiện diện của các hoạt động cho vay của doanh nghiệp không phải là tổ chức tín dụng được công nhận tại Luật TGTGT và hoạt động cho vay này không thuộc đối tượng chịu thuế.</w:t>
      </w:r>
      <w:r w:rsidRPr="00BF2800">
        <w:rPr>
          <w:rStyle w:val="FootnoteReference"/>
          <w:sz w:val="24"/>
          <w:szCs w:val="24"/>
          <w:lang w:val="vi-VN"/>
        </w:rPr>
        <w:footnoteReference w:id="4"/>
      </w:r>
      <w:r w:rsidRPr="00BF2800">
        <w:rPr>
          <w:sz w:val="24"/>
          <w:szCs w:val="24"/>
          <w:lang w:val="vi-VN"/>
        </w:rPr>
        <w:t xml:space="preserve"> Bộ Tài Chính cũng đã giải thích thêm về hoạt động cho vay này là </w:t>
      </w:r>
      <w:r w:rsidR="00BF2800" w:rsidRPr="00BF2800">
        <w:rPr>
          <w:sz w:val="24"/>
          <w:szCs w:val="24"/>
          <w:lang w:val="vi-VN"/>
        </w:rPr>
        <w:t>“hoạt động cho vay riêng lẻ, không phải hoạt động kinh doanh, cung ứng thường xuyên của người nộp thuế không phải là tổ chức tín dụng”.</w:t>
      </w:r>
      <w:r w:rsidR="00BF2800" w:rsidRPr="00BF2800">
        <w:rPr>
          <w:rStyle w:val="FootnoteReference"/>
          <w:sz w:val="24"/>
          <w:szCs w:val="24"/>
          <w:vertAlign w:val="baseline"/>
          <w:lang w:val="vi-VN"/>
        </w:rPr>
        <w:t xml:space="preserve"> Ví dụ, Công ty cổ phần VC có tiền nhàn rỗi tạm thời chưa phục vụ hoạt động kinh doanh </w:t>
      </w:r>
      <w:r w:rsidR="00BF2800" w:rsidRPr="00BF2800">
        <w:rPr>
          <w:sz w:val="24"/>
          <w:szCs w:val="24"/>
          <w:lang w:val="vi-VN"/>
        </w:rPr>
        <w:t>và đồng ý</w:t>
      </w:r>
      <w:r w:rsidR="00BF2800" w:rsidRPr="00BF2800">
        <w:rPr>
          <w:rStyle w:val="FootnoteReference"/>
          <w:sz w:val="24"/>
          <w:szCs w:val="24"/>
          <w:vertAlign w:val="baseline"/>
          <w:lang w:val="vi-VN"/>
        </w:rPr>
        <w:t xml:space="preserve"> cho Công ty T vay tiền v</w:t>
      </w:r>
      <w:r w:rsidR="00BF2800" w:rsidRPr="00BF2800">
        <w:rPr>
          <w:sz w:val="24"/>
          <w:szCs w:val="24"/>
          <w:lang w:val="vi-VN"/>
        </w:rPr>
        <w:t>ới</w:t>
      </w:r>
      <w:r w:rsidR="00BF2800" w:rsidRPr="00BF2800">
        <w:rPr>
          <w:rStyle w:val="FootnoteReference"/>
          <w:sz w:val="24"/>
          <w:szCs w:val="24"/>
          <w:vertAlign w:val="baseline"/>
          <w:lang w:val="vi-VN"/>
        </w:rPr>
        <w:t xml:space="preserve"> thời hạn 6 tháng. Khoản tiền lãi m</w:t>
      </w:r>
      <w:r w:rsidR="00BF2800" w:rsidRPr="00BF2800">
        <w:rPr>
          <w:sz w:val="24"/>
          <w:szCs w:val="24"/>
          <w:lang w:val="vi-VN"/>
        </w:rPr>
        <w:t>à</w:t>
      </w:r>
      <w:r w:rsidR="00BF2800" w:rsidRPr="00BF2800">
        <w:rPr>
          <w:rStyle w:val="FootnoteReference"/>
          <w:sz w:val="24"/>
          <w:szCs w:val="24"/>
          <w:vertAlign w:val="baseline"/>
          <w:lang w:val="vi-VN"/>
        </w:rPr>
        <w:t xml:space="preserve"> Công ty cổ phần VC</w:t>
      </w:r>
      <w:r w:rsidR="009B7373">
        <w:rPr>
          <w:sz w:val="24"/>
          <w:szCs w:val="24"/>
          <w:lang w:val="en-US"/>
        </w:rPr>
        <w:t xml:space="preserve"> </w:t>
      </w:r>
      <w:proofErr w:type="spellStart"/>
      <w:r w:rsidR="009B7373">
        <w:rPr>
          <w:sz w:val="24"/>
          <w:szCs w:val="24"/>
          <w:lang w:val="en-US"/>
        </w:rPr>
        <w:t>nhận</w:t>
      </w:r>
      <w:proofErr w:type="spellEnd"/>
      <w:r w:rsidR="009B7373">
        <w:rPr>
          <w:sz w:val="24"/>
          <w:szCs w:val="24"/>
          <w:lang w:val="en-US"/>
        </w:rPr>
        <w:t xml:space="preserve"> </w:t>
      </w:r>
      <w:proofErr w:type="spellStart"/>
      <w:r w:rsidR="009B7373">
        <w:rPr>
          <w:sz w:val="24"/>
          <w:szCs w:val="24"/>
          <w:lang w:val="en-US"/>
        </w:rPr>
        <w:t>được</w:t>
      </w:r>
      <w:proofErr w:type="spellEnd"/>
      <w:r w:rsidR="00BF2800" w:rsidRPr="00BF2800">
        <w:rPr>
          <w:sz w:val="24"/>
          <w:szCs w:val="24"/>
          <w:lang w:val="vi-VN"/>
        </w:rPr>
        <w:t xml:space="preserve"> trong trường hợp này</w:t>
      </w:r>
      <w:r w:rsidR="00BF2800" w:rsidRPr="00BF2800">
        <w:rPr>
          <w:rStyle w:val="FootnoteReference"/>
          <w:sz w:val="24"/>
          <w:szCs w:val="24"/>
          <w:vertAlign w:val="baseline"/>
          <w:lang w:val="vi-VN"/>
        </w:rPr>
        <w:t xml:space="preserve"> thuộc đối tượng không chịu thuế giá trị gia tăng.</w:t>
      </w:r>
      <w:r w:rsidRPr="00BF2800">
        <w:rPr>
          <w:rStyle w:val="FootnoteReference"/>
          <w:sz w:val="24"/>
          <w:szCs w:val="24"/>
          <w:lang w:val="vi-VN"/>
        </w:rPr>
        <w:footnoteReference w:id="5"/>
      </w:r>
    </w:p>
    <w:p w:rsidR="00E41450" w:rsidRPr="00BF2800" w:rsidRDefault="00A301F4" w:rsidP="00C05A48">
      <w:pPr>
        <w:pStyle w:val="AODocTxtL1"/>
        <w:spacing w:line="240" w:lineRule="auto"/>
        <w:ind w:left="0"/>
        <w:rPr>
          <w:sz w:val="24"/>
          <w:szCs w:val="24"/>
          <w:lang w:val="vi-VN"/>
        </w:rPr>
      </w:pPr>
      <w:r w:rsidRPr="00BF2800">
        <w:rPr>
          <w:sz w:val="24"/>
          <w:szCs w:val="24"/>
          <w:lang w:val="vi-VN"/>
        </w:rPr>
        <w:t>Thêm vào đó,</w:t>
      </w:r>
      <w:r w:rsidR="003C60C6" w:rsidRPr="00BF2800">
        <w:rPr>
          <w:sz w:val="24"/>
          <w:szCs w:val="24"/>
          <w:lang w:val="vi-VN"/>
        </w:rPr>
        <w:t xml:space="preserve"> theo quy định của </w:t>
      </w:r>
      <w:r w:rsidRPr="00BF2800">
        <w:rPr>
          <w:sz w:val="24"/>
          <w:szCs w:val="24"/>
          <w:lang w:val="vi-VN"/>
        </w:rPr>
        <w:t xml:space="preserve">khoản 1 </w:t>
      </w:r>
      <w:r w:rsidR="003C60C6" w:rsidRPr="00BF2800">
        <w:rPr>
          <w:sz w:val="24"/>
          <w:szCs w:val="24"/>
          <w:lang w:val="vi-VN"/>
        </w:rPr>
        <w:t xml:space="preserve">Điều </w:t>
      </w:r>
      <w:r w:rsidR="00E41450" w:rsidRPr="00BF2800">
        <w:rPr>
          <w:sz w:val="24"/>
          <w:szCs w:val="24"/>
          <w:lang w:val="vi-VN"/>
        </w:rPr>
        <w:t>23</w:t>
      </w:r>
      <w:r w:rsidR="003C60C6" w:rsidRPr="00BF2800">
        <w:rPr>
          <w:sz w:val="24"/>
          <w:szCs w:val="24"/>
          <w:lang w:val="vi-VN"/>
        </w:rPr>
        <w:t xml:space="preserve"> Luậ</w:t>
      </w:r>
      <w:r w:rsidRPr="00BF2800">
        <w:rPr>
          <w:sz w:val="24"/>
          <w:szCs w:val="24"/>
          <w:lang w:val="vi-VN"/>
        </w:rPr>
        <w:t>t quản lý, sử dụng vốn Nhà Nước đầu tư vào sản xuất, kinh doanh tại doanh nghiệp</w:t>
      </w:r>
      <w:r w:rsidR="003C60C6" w:rsidRPr="00BF2800">
        <w:rPr>
          <w:sz w:val="24"/>
          <w:szCs w:val="24"/>
          <w:lang w:val="vi-VN"/>
        </w:rPr>
        <w:t xml:space="preserve"> </w:t>
      </w:r>
      <w:r w:rsidRPr="00BF2800">
        <w:rPr>
          <w:sz w:val="24"/>
          <w:szCs w:val="24"/>
          <w:lang w:val="vi-VN"/>
        </w:rPr>
        <w:t xml:space="preserve">số </w:t>
      </w:r>
      <w:r w:rsidR="00E41450" w:rsidRPr="00BF2800">
        <w:rPr>
          <w:sz w:val="24"/>
          <w:szCs w:val="24"/>
          <w:lang w:val="vi-VN"/>
        </w:rPr>
        <w:t xml:space="preserve">69/2014/QH13 </w:t>
      </w:r>
      <w:r w:rsidR="003C60C6" w:rsidRPr="00BF2800">
        <w:rPr>
          <w:sz w:val="24"/>
          <w:szCs w:val="24"/>
          <w:lang w:val="vi-VN"/>
        </w:rPr>
        <w:t xml:space="preserve">được Quốc Hội thông qua ngày </w:t>
      </w:r>
      <w:r w:rsidR="00E41450" w:rsidRPr="00BF2800">
        <w:rPr>
          <w:sz w:val="24"/>
          <w:szCs w:val="24"/>
          <w:lang w:val="vi-VN"/>
        </w:rPr>
        <w:t xml:space="preserve">26 </w:t>
      </w:r>
      <w:r w:rsidR="003C60C6" w:rsidRPr="00BF2800">
        <w:rPr>
          <w:sz w:val="24"/>
          <w:szCs w:val="24"/>
          <w:lang w:val="vi-VN"/>
        </w:rPr>
        <w:t xml:space="preserve">tháng 11 năm </w:t>
      </w:r>
      <w:r w:rsidR="00E41450" w:rsidRPr="00BF2800">
        <w:rPr>
          <w:sz w:val="24"/>
          <w:szCs w:val="24"/>
          <w:lang w:val="vi-VN"/>
        </w:rPr>
        <w:t>2014,</w:t>
      </w:r>
      <w:r w:rsidR="00274107" w:rsidRPr="00BF2800">
        <w:rPr>
          <w:sz w:val="24"/>
          <w:szCs w:val="24"/>
          <w:lang w:val="vi-VN"/>
        </w:rPr>
        <w:t xml:space="preserve"> </w:t>
      </w:r>
      <w:r w:rsidR="003C60C6" w:rsidRPr="00BF2800">
        <w:rPr>
          <w:sz w:val="24"/>
          <w:szCs w:val="24"/>
          <w:lang w:val="vi-VN"/>
        </w:rPr>
        <w:t>các doanh nghiệp thuộc sở hữu nhà nước có quyền nhận các khoản vay từ các tổ chức không phải là tổ chức tín dụng</w:t>
      </w:r>
      <w:r w:rsidR="002D73D0" w:rsidRPr="00BF2800">
        <w:rPr>
          <w:sz w:val="24"/>
          <w:szCs w:val="24"/>
          <w:lang w:val="vi-VN"/>
        </w:rPr>
        <w:t>.</w:t>
      </w:r>
      <w:r w:rsidR="00034A6B" w:rsidRPr="00BF2800">
        <w:rPr>
          <w:sz w:val="24"/>
          <w:szCs w:val="24"/>
          <w:lang w:val="vi-VN"/>
        </w:rPr>
        <w:t xml:space="preserve"> </w:t>
      </w:r>
      <w:r w:rsidR="00002192" w:rsidRPr="00BF2800">
        <w:rPr>
          <w:sz w:val="24"/>
          <w:szCs w:val="24"/>
          <w:lang w:val="vi-VN"/>
        </w:rPr>
        <w:t>Quyền</w:t>
      </w:r>
      <w:r w:rsidR="00FE0C70" w:rsidRPr="00BF2800">
        <w:rPr>
          <w:sz w:val="24"/>
          <w:szCs w:val="24"/>
          <w:lang w:val="vi-VN"/>
        </w:rPr>
        <w:t xml:space="preserve"> này cũng được ghi</w:t>
      </w:r>
      <w:r w:rsidR="000A1258" w:rsidRPr="00BF2800">
        <w:rPr>
          <w:sz w:val="24"/>
          <w:szCs w:val="24"/>
          <w:lang w:val="vi-VN"/>
        </w:rPr>
        <w:t xml:space="preserve"> rõ</w:t>
      </w:r>
      <w:r w:rsidR="00FE0C70" w:rsidRPr="00BF2800">
        <w:rPr>
          <w:sz w:val="24"/>
          <w:szCs w:val="24"/>
          <w:lang w:val="vi-VN"/>
        </w:rPr>
        <w:t xml:space="preserve"> </w:t>
      </w:r>
      <w:r w:rsidR="000A1258" w:rsidRPr="00BF2800">
        <w:rPr>
          <w:sz w:val="24"/>
          <w:szCs w:val="24"/>
          <w:lang w:val="vi-VN"/>
        </w:rPr>
        <w:t>tại</w:t>
      </w:r>
      <w:r w:rsidR="00FE0C70" w:rsidRPr="00BF2800">
        <w:rPr>
          <w:sz w:val="24"/>
          <w:szCs w:val="24"/>
          <w:lang w:val="vi-VN"/>
        </w:rPr>
        <w:t xml:space="preserve"> </w:t>
      </w:r>
      <w:r w:rsidR="00002192" w:rsidRPr="00BF2800">
        <w:rPr>
          <w:sz w:val="24"/>
          <w:szCs w:val="24"/>
          <w:lang w:val="vi-VN"/>
        </w:rPr>
        <w:t>quy chế</w:t>
      </w:r>
      <w:r w:rsidR="00FE0C70" w:rsidRPr="00BF2800">
        <w:rPr>
          <w:sz w:val="24"/>
          <w:szCs w:val="24"/>
          <w:lang w:val="vi-VN"/>
        </w:rPr>
        <w:t xml:space="preserve"> quản lý tài chính của những tập đoàn lớn thuộc sở hữu nhà nước như </w:t>
      </w:r>
      <w:r w:rsidR="0031709B" w:rsidRPr="00BF2800">
        <w:rPr>
          <w:sz w:val="24"/>
          <w:szCs w:val="24"/>
          <w:lang w:val="vi-VN"/>
        </w:rPr>
        <w:t>Tập Đoàn Điện Lực Việt Nam</w:t>
      </w:r>
      <w:r w:rsidR="00E41450" w:rsidRPr="00BF2800">
        <w:rPr>
          <w:rStyle w:val="FootnoteReference"/>
          <w:sz w:val="24"/>
          <w:szCs w:val="24"/>
          <w:lang w:val="vi-VN"/>
        </w:rPr>
        <w:footnoteReference w:id="6"/>
      </w:r>
      <w:r w:rsidR="00E41450" w:rsidRPr="00BF2800">
        <w:rPr>
          <w:sz w:val="24"/>
          <w:szCs w:val="24"/>
          <w:lang w:val="vi-VN"/>
        </w:rPr>
        <w:t xml:space="preserve"> </w:t>
      </w:r>
      <w:r w:rsidR="0031709B" w:rsidRPr="00BF2800">
        <w:rPr>
          <w:sz w:val="24"/>
          <w:szCs w:val="24"/>
          <w:lang w:val="vi-VN"/>
        </w:rPr>
        <w:t>hoặc Tập Đoàn Dầu Khí Việt Nam</w:t>
      </w:r>
      <w:r w:rsidR="00E41450" w:rsidRPr="00BF2800">
        <w:rPr>
          <w:rStyle w:val="FootnoteReference"/>
          <w:sz w:val="24"/>
          <w:szCs w:val="24"/>
          <w:lang w:val="vi-VN"/>
        </w:rPr>
        <w:footnoteReference w:id="7"/>
      </w:r>
      <w:r w:rsidR="00E41450" w:rsidRPr="00BF2800">
        <w:rPr>
          <w:sz w:val="24"/>
          <w:szCs w:val="24"/>
          <w:lang w:val="vi-VN"/>
        </w:rPr>
        <w:t xml:space="preserve">. </w:t>
      </w:r>
      <w:r w:rsidR="00002192" w:rsidRPr="00BF2800">
        <w:rPr>
          <w:sz w:val="24"/>
          <w:szCs w:val="24"/>
          <w:lang w:val="vi-VN"/>
        </w:rPr>
        <w:t>Như vậy</w:t>
      </w:r>
      <w:r w:rsidR="007E7E9B" w:rsidRPr="00BF2800">
        <w:rPr>
          <w:sz w:val="24"/>
          <w:szCs w:val="24"/>
          <w:lang w:val="vi-VN"/>
        </w:rPr>
        <w:t>,</w:t>
      </w:r>
      <w:r w:rsidR="00002192" w:rsidRPr="00BF2800">
        <w:rPr>
          <w:sz w:val="24"/>
          <w:szCs w:val="24"/>
          <w:lang w:val="vi-VN"/>
        </w:rPr>
        <w:t xml:space="preserve"> trong một số trường hợp,</w:t>
      </w:r>
      <w:r w:rsidR="007E7E9B" w:rsidRPr="00BF2800">
        <w:rPr>
          <w:sz w:val="24"/>
          <w:szCs w:val="24"/>
          <w:lang w:val="vi-VN"/>
        </w:rPr>
        <w:t xml:space="preserve"> </w:t>
      </w:r>
      <w:r w:rsidR="0031709B" w:rsidRPr="00BF2800">
        <w:rPr>
          <w:sz w:val="24"/>
          <w:szCs w:val="24"/>
          <w:lang w:val="vi-VN"/>
        </w:rPr>
        <w:t xml:space="preserve">các hoạt động cho vay giữa các tổ chức không phải là tổ chức tín dụng nhằm mục đích huy động vốn rõ ràng đã được </w:t>
      </w:r>
      <w:r w:rsidR="000A1258" w:rsidRPr="00BF2800">
        <w:rPr>
          <w:sz w:val="24"/>
          <w:szCs w:val="24"/>
          <w:lang w:val="vi-VN"/>
        </w:rPr>
        <w:t xml:space="preserve">pháp </w:t>
      </w:r>
      <w:r w:rsidR="0031709B" w:rsidRPr="00BF2800">
        <w:rPr>
          <w:sz w:val="24"/>
          <w:szCs w:val="24"/>
          <w:lang w:val="vi-VN"/>
        </w:rPr>
        <w:t>luật Việt Nam</w:t>
      </w:r>
      <w:r w:rsidR="000A1258" w:rsidRPr="00BF2800">
        <w:rPr>
          <w:sz w:val="24"/>
          <w:szCs w:val="24"/>
          <w:lang w:val="vi-VN"/>
        </w:rPr>
        <w:t xml:space="preserve"> cho phép</w:t>
      </w:r>
      <w:r w:rsidR="004B1A66" w:rsidRPr="00BF2800">
        <w:rPr>
          <w:sz w:val="24"/>
          <w:szCs w:val="24"/>
          <w:lang w:val="vi-VN"/>
        </w:rPr>
        <w:t>.</w:t>
      </w:r>
    </w:p>
    <w:p w:rsidR="007E7E9B" w:rsidRPr="00BF2800" w:rsidRDefault="00E51409" w:rsidP="00C05A48">
      <w:pPr>
        <w:pStyle w:val="AOHead1"/>
        <w:tabs>
          <w:tab w:val="clear" w:pos="720"/>
        </w:tabs>
        <w:spacing w:line="240" w:lineRule="auto"/>
        <w:ind w:left="360" w:hanging="360"/>
        <w:rPr>
          <w:sz w:val="24"/>
          <w:szCs w:val="24"/>
          <w:lang w:val="vi-VN"/>
        </w:rPr>
      </w:pPr>
      <w:r w:rsidRPr="00BF2800">
        <w:rPr>
          <w:sz w:val="24"/>
          <w:szCs w:val="24"/>
          <w:lang w:val="vi-VN"/>
        </w:rPr>
        <w:lastRenderedPageBreak/>
        <w:t xml:space="preserve">KẾT LUẬN </w:t>
      </w:r>
    </w:p>
    <w:p w:rsidR="007E7E9B" w:rsidRPr="00BF2800" w:rsidRDefault="00E51409" w:rsidP="00C05A48">
      <w:pPr>
        <w:pStyle w:val="AODocTxtL1"/>
        <w:spacing w:line="240" w:lineRule="auto"/>
        <w:ind w:left="0"/>
        <w:rPr>
          <w:sz w:val="24"/>
          <w:szCs w:val="24"/>
          <w:lang w:val="vi-VN"/>
        </w:rPr>
      </w:pPr>
      <w:r w:rsidRPr="00BF2800">
        <w:rPr>
          <w:sz w:val="24"/>
          <w:szCs w:val="24"/>
          <w:lang w:val="vi-VN"/>
        </w:rPr>
        <w:t xml:space="preserve">Do luật Việt Nam hiện thời không cấm rõ ràng các hoạt động cho vay giữa các tổ chức không phải là tổ chức tín dụng và </w:t>
      </w:r>
      <w:r w:rsidR="00002192" w:rsidRPr="00BF2800">
        <w:rPr>
          <w:sz w:val="24"/>
          <w:szCs w:val="24"/>
          <w:lang w:val="vi-VN"/>
        </w:rPr>
        <w:t xml:space="preserve">phương thức kết chuyển tiền mặt </w:t>
      </w:r>
      <w:r w:rsidRPr="00BF2800">
        <w:rPr>
          <w:sz w:val="24"/>
          <w:szCs w:val="24"/>
          <w:lang w:val="vi-VN"/>
        </w:rPr>
        <w:t xml:space="preserve">chỉ nhằm mục đích </w:t>
      </w:r>
      <w:r w:rsidR="00002192" w:rsidRPr="00BF2800">
        <w:rPr>
          <w:sz w:val="24"/>
          <w:szCs w:val="24"/>
          <w:lang w:val="vi-VN"/>
        </w:rPr>
        <w:t>tối ưu hóa nguồn</w:t>
      </w:r>
      <w:r w:rsidRPr="00BF2800">
        <w:rPr>
          <w:sz w:val="24"/>
          <w:szCs w:val="24"/>
          <w:lang w:val="vi-VN"/>
        </w:rPr>
        <w:t xml:space="preserve"> vốn trong phạm vi nhóm các công ty </w:t>
      </w:r>
      <w:r w:rsidR="00474756" w:rsidRPr="00BF2800">
        <w:rPr>
          <w:sz w:val="24"/>
          <w:szCs w:val="24"/>
          <w:lang w:val="vi-VN"/>
        </w:rPr>
        <w:t>(</w:t>
      </w:r>
      <w:r w:rsidRPr="00BF2800">
        <w:rPr>
          <w:sz w:val="24"/>
          <w:szCs w:val="24"/>
          <w:lang w:val="vi-VN"/>
        </w:rPr>
        <w:t>không cho mục đích lợi nhuận</w:t>
      </w:r>
      <w:r w:rsidR="00474756" w:rsidRPr="00BF2800">
        <w:rPr>
          <w:sz w:val="24"/>
          <w:szCs w:val="24"/>
          <w:lang w:val="vi-VN"/>
        </w:rPr>
        <w:t>)</w:t>
      </w:r>
      <w:r w:rsidR="009D0A28" w:rsidRPr="00BF2800">
        <w:rPr>
          <w:sz w:val="24"/>
          <w:szCs w:val="24"/>
          <w:lang w:val="vi-VN"/>
        </w:rPr>
        <w:t xml:space="preserve">, </w:t>
      </w:r>
      <w:r w:rsidR="00002192" w:rsidRPr="00BF2800">
        <w:rPr>
          <w:sz w:val="24"/>
          <w:szCs w:val="24"/>
          <w:lang w:val="vi-VN"/>
        </w:rPr>
        <w:t>phương thức này nên</w:t>
      </w:r>
      <w:r w:rsidRPr="00BF2800">
        <w:rPr>
          <w:sz w:val="24"/>
          <w:szCs w:val="24"/>
          <w:lang w:val="vi-VN"/>
        </w:rPr>
        <w:t xml:space="preserve"> được công nhận và quy định để </w:t>
      </w:r>
      <w:r w:rsidR="00002192" w:rsidRPr="00BF2800">
        <w:rPr>
          <w:sz w:val="24"/>
          <w:szCs w:val="24"/>
          <w:lang w:val="vi-VN"/>
        </w:rPr>
        <w:t>loại bỏ</w:t>
      </w:r>
      <w:r w:rsidRPr="00BF2800">
        <w:rPr>
          <w:sz w:val="24"/>
          <w:szCs w:val="24"/>
          <w:lang w:val="vi-VN"/>
        </w:rPr>
        <w:t xml:space="preserve"> </w:t>
      </w:r>
      <w:r w:rsidR="00002192" w:rsidRPr="00BF2800">
        <w:rPr>
          <w:sz w:val="24"/>
          <w:szCs w:val="24"/>
          <w:lang w:val="vi-VN"/>
        </w:rPr>
        <w:t>sự không rõ ràng khi áp dụng</w:t>
      </w:r>
      <w:r w:rsidR="009D0A28" w:rsidRPr="00BF2800">
        <w:rPr>
          <w:sz w:val="24"/>
          <w:szCs w:val="24"/>
          <w:lang w:val="vi-VN"/>
        </w:rPr>
        <w:t xml:space="preserve">. </w:t>
      </w:r>
      <w:r w:rsidR="00C05A48">
        <w:rPr>
          <w:sz w:val="24"/>
          <w:szCs w:val="24"/>
          <w:lang w:val="vi-VN"/>
        </w:rPr>
        <w:t xml:space="preserve">Chính </w:t>
      </w:r>
      <w:r w:rsidR="00C05A48">
        <w:rPr>
          <w:sz w:val="24"/>
          <w:szCs w:val="24"/>
          <w:lang w:val="en-US"/>
        </w:rPr>
        <w:t>p</w:t>
      </w:r>
      <w:r w:rsidRPr="00BF2800">
        <w:rPr>
          <w:sz w:val="24"/>
          <w:szCs w:val="24"/>
          <w:lang w:val="vi-VN"/>
        </w:rPr>
        <w:t>hủ có thể</w:t>
      </w:r>
      <w:r w:rsidR="002C7C8B" w:rsidRPr="00BF2800">
        <w:rPr>
          <w:sz w:val="24"/>
          <w:szCs w:val="24"/>
          <w:lang w:val="vi-VN"/>
        </w:rPr>
        <w:t xml:space="preserve"> xem xét </w:t>
      </w:r>
      <w:r w:rsidRPr="00BF2800">
        <w:rPr>
          <w:sz w:val="24"/>
          <w:szCs w:val="24"/>
          <w:lang w:val="vi-VN"/>
        </w:rPr>
        <w:t xml:space="preserve">ban hành nghị định để cho phép, quy định và thực hiện một cách rõ ràng </w:t>
      </w:r>
      <w:r w:rsidR="00002192" w:rsidRPr="00BF2800">
        <w:rPr>
          <w:sz w:val="24"/>
          <w:szCs w:val="24"/>
          <w:lang w:val="vi-VN"/>
        </w:rPr>
        <w:t xml:space="preserve">phương thức kết chuyển tiền mặt </w:t>
      </w:r>
      <w:r w:rsidR="00634D50" w:rsidRPr="00BF2800">
        <w:rPr>
          <w:sz w:val="24"/>
          <w:szCs w:val="24"/>
          <w:lang w:val="vi-VN"/>
        </w:rPr>
        <w:t xml:space="preserve">giữa các công ty trong một tập đoàn không </w:t>
      </w:r>
      <w:r w:rsidR="00002192" w:rsidRPr="00BF2800">
        <w:rPr>
          <w:sz w:val="24"/>
          <w:szCs w:val="24"/>
          <w:lang w:val="vi-VN"/>
        </w:rPr>
        <w:t>vì</w:t>
      </w:r>
      <w:r w:rsidR="00634D50" w:rsidRPr="00BF2800">
        <w:rPr>
          <w:sz w:val="24"/>
          <w:szCs w:val="24"/>
          <w:lang w:val="vi-VN"/>
        </w:rPr>
        <w:t xml:space="preserve"> mục đích </w:t>
      </w:r>
      <w:r w:rsidR="00002192" w:rsidRPr="00BF2800">
        <w:rPr>
          <w:sz w:val="24"/>
          <w:szCs w:val="24"/>
          <w:lang w:val="vi-VN"/>
        </w:rPr>
        <w:t>sinh lời</w:t>
      </w:r>
      <w:r w:rsidR="004127E4" w:rsidRPr="00BF2800">
        <w:rPr>
          <w:sz w:val="24"/>
          <w:szCs w:val="24"/>
          <w:lang w:val="vi-VN"/>
        </w:rPr>
        <w:t>.</w:t>
      </w:r>
    </w:p>
    <w:sectPr w:rsidR="007E7E9B" w:rsidRPr="00BF2800" w:rsidSect="001852DD">
      <w:headerReference w:type="default" r:id="rId11"/>
      <w:footerReference w:type="default" r:id="rId12"/>
      <w:headerReference w:type="first" r:id="rId13"/>
      <w:footerReference w:type="first" r:id="rId14"/>
      <w:pgSz w:w="11907" w:h="16839" w:code="9"/>
      <w:pgMar w:top="907"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7D" w:rsidRPr="00920631" w:rsidRDefault="0015667D" w:rsidP="001E7139">
      <w:r w:rsidRPr="00920631">
        <w:separator/>
      </w:r>
    </w:p>
  </w:endnote>
  <w:endnote w:type="continuationSeparator" w:id="0">
    <w:p w:rsidR="0015667D" w:rsidRPr="00920631" w:rsidRDefault="0015667D"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761735923"/>
      <w:docPartObj>
        <w:docPartGallery w:val="Page Numbers (Bottom of Page)"/>
        <w:docPartUnique/>
      </w:docPartObj>
    </w:sdtPr>
    <w:sdtEndPr/>
    <w:sdtContent>
      <w:sdt>
        <w:sdtPr>
          <w:rPr>
            <w:i/>
            <w:sz w:val="20"/>
            <w:szCs w:val="20"/>
          </w:rPr>
          <w:id w:val="1728636285"/>
          <w:docPartObj>
            <w:docPartGallery w:val="Page Numbers (Top of Page)"/>
            <w:docPartUnique/>
          </w:docPartObj>
        </w:sdtPr>
        <w:sdtEndPr/>
        <w:sdtContent>
          <w:p w:rsidR="0031693D" w:rsidRPr="0031693D" w:rsidRDefault="0031693D">
            <w:pPr>
              <w:pStyle w:val="Footer"/>
              <w:jc w:val="center"/>
              <w:rPr>
                <w:i/>
                <w:sz w:val="20"/>
                <w:szCs w:val="20"/>
              </w:rPr>
            </w:pPr>
            <w:r w:rsidRPr="0031693D">
              <w:rPr>
                <w:i/>
                <w:sz w:val="20"/>
                <w:szCs w:val="20"/>
              </w:rPr>
              <w:t xml:space="preserve">Trang </w:t>
            </w:r>
            <w:r w:rsidRPr="0031693D">
              <w:rPr>
                <w:b/>
                <w:bCs/>
                <w:i/>
                <w:sz w:val="20"/>
                <w:szCs w:val="20"/>
              </w:rPr>
              <w:fldChar w:fldCharType="begin"/>
            </w:r>
            <w:r w:rsidRPr="0031693D">
              <w:rPr>
                <w:b/>
                <w:bCs/>
                <w:i/>
                <w:sz w:val="20"/>
                <w:szCs w:val="20"/>
              </w:rPr>
              <w:instrText xml:space="preserve"> PAGE </w:instrText>
            </w:r>
            <w:r w:rsidRPr="0031693D">
              <w:rPr>
                <w:b/>
                <w:bCs/>
                <w:i/>
                <w:sz w:val="20"/>
                <w:szCs w:val="20"/>
              </w:rPr>
              <w:fldChar w:fldCharType="separate"/>
            </w:r>
            <w:r w:rsidR="001852DD">
              <w:rPr>
                <w:b/>
                <w:bCs/>
                <w:i/>
                <w:noProof/>
                <w:sz w:val="20"/>
                <w:szCs w:val="20"/>
              </w:rPr>
              <w:t>3</w:t>
            </w:r>
            <w:r w:rsidRPr="0031693D">
              <w:rPr>
                <w:b/>
                <w:bCs/>
                <w:i/>
                <w:sz w:val="20"/>
                <w:szCs w:val="20"/>
              </w:rPr>
              <w:fldChar w:fldCharType="end"/>
            </w:r>
            <w:r w:rsidRPr="0031693D">
              <w:rPr>
                <w:b/>
                <w:bCs/>
                <w:i/>
                <w:sz w:val="20"/>
                <w:szCs w:val="20"/>
              </w:rPr>
              <w:t>/</w:t>
            </w:r>
            <w:r w:rsidRPr="0031693D">
              <w:rPr>
                <w:b/>
                <w:bCs/>
                <w:i/>
                <w:sz w:val="20"/>
                <w:szCs w:val="20"/>
              </w:rPr>
              <w:fldChar w:fldCharType="begin"/>
            </w:r>
            <w:r w:rsidRPr="0031693D">
              <w:rPr>
                <w:b/>
                <w:bCs/>
                <w:i/>
                <w:sz w:val="20"/>
                <w:szCs w:val="20"/>
              </w:rPr>
              <w:instrText xml:space="preserve"> NUMPAGES  </w:instrText>
            </w:r>
            <w:r w:rsidRPr="0031693D">
              <w:rPr>
                <w:b/>
                <w:bCs/>
                <w:i/>
                <w:sz w:val="20"/>
                <w:szCs w:val="20"/>
              </w:rPr>
              <w:fldChar w:fldCharType="separate"/>
            </w:r>
            <w:r w:rsidR="001852DD">
              <w:rPr>
                <w:b/>
                <w:bCs/>
                <w:i/>
                <w:noProof/>
                <w:sz w:val="20"/>
                <w:szCs w:val="20"/>
              </w:rPr>
              <w:t>3</w:t>
            </w:r>
            <w:r w:rsidRPr="0031693D">
              <w:rPr>
                <w:b/>
                <w:bCs/>
                <w:i/>
                <w:sz w:val="20"/>
                <w:szCs w:val="20"/>
              </w:rPr>
              <w:fldChar w:fldCharType="end"/>
            </w:r>
          </w:p>
        </w:sdtContent>
      </w:sdt>
    </w:sdtContent>
  </w:sdt>
  <w:p w:rsidR="0061772E" w:rsidRPr="0031693D" w:rsidRDefault="001852DD" w:rsidP="008C14D4">
    <w:pPr>
      <w:pStyle w:val="AONormal8L"/>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190"/>
      <w:gridCol w:w="3192"/>
      <w:gridCol w:w="3192"/>
    </w:tblGrid>
    <w:tr w:rsidR="005D5CB3" w:rsidTr="005D5CB3">
      <w:tc>
        <w:tcPr>
          <w:tcW w:w="5000" w:type="pct"/>
          <w:gridSpan w:val="3"/>
          <w:tcMar>
            <w:top w:w="170" w:type="dxa"/>
          </w:tcMar>
        </w:tcPr>
        <w:p w:rsidR="005D5CB3" w:rsidRDefault="001852DD" w:rsidP="005D5CB3">
          <w:pPr>
            <w:pStyle w:val="AONormal8LBold"/>
          </w:pPr>
          <w:r>
            <w:fldChar w:fldCharType="begin"/>
          </w:r>
          <w:r>
            <w:instrText xml:space="preserve"> DOCPROPERTY  cpFooterText </w:instrText>
          </w:r>
          <w:r>
            <w:fldChar w:fldCharType="separate"/>
          </w:r>
          <w:r>
            <w:t xml:space="preserve"> </w:t>
          </w:r>
          <w:r>
            <w:fldChar w:fldCharType="end"/>
          </w:r>
        </w:p>
      </w:tc>
    </w:tr>
    <w:tr w:rsidR="005D5CB3" w:rsidTr="005D5CB3">
      <w:tc>
        <w:tcPr>
          <w:tcW w:w="1666" w:type="pct"/>
        </w:tcPr>
        <w:p w:rsidR="005D5CB3" w:rsidRDefault="001852DD" w:rsidP="005D5CB3">
          <w:pPr>
            <w:pStyle w:val="AONormal8L"/>
          </w:pPr>
          <w:r>
            <w:fldChar w:fldCharType="begin"/>
          </w:r>
          <w:r>
            <w:instrText xml:space="preserve"> DOCPROPERTY  cpCombinedRef </w:instrText>
          </w:r>
          <w:r>
            <w:fldChar w:fldCharType="separate"/>
          </w:r>
          <w:r>
            <w:t>PERSONAL-QUACHTU VN:1772648.2</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7D" w:rsidRPr="00920631" w:rsidRDefault="0015667D" w:rsidP="001E7139">
      <w:r w:rsidRPr="00920631">
        <w:separator/>
      </w:r>
    </w:p>
  </w:footnote>
  <w:footnote w:type="continuationSeparator" w:id="0">
    <w:p w:rsidR="0015667D" w:rsidRPr="00920631" w:rsidRDefault="0015667D" w:rsidP="001E7139">
      <w:r w:rsidRPr="00920631">
        <w:continuationSeparator/>
      </w:r>
    </w:p>
  </w:footnote>
  <w:footnote w:id="1">
    <w:p w:rsidR="00F676B5" w:rsidRPr="0031693D" w:rsidRDefault="00F676B5" w:rsidP="0031693D">
      <w:pPr>
        <w:pStyle w:val="FootnoteText"/>
        <w:ind w:left="360" w:hanging="360"/>
        <w:rPr>
          <w:i/>
          <w:sz w:val="18"/>
          <w:szCs w:val="18"/>
        </w:rPr>
      </w:pPr>
      <w:r w:rsidRPr="0031693D">
        <w:rPr>
          <w:rStyle w:val="FootnoteReference"/>
          <w:i/>
          <w:sz w:val="18"/>
          <w:szCs w:val="18"/>
        </w:rPr>
        <w:footnoteRef/>
      </w:r>
      <w:r w:rsidRPr="0031693D">
        <w:rPr>
          <w:i/>
          <w:sz w:val="18"/>
          <w:szCs w:val="18"/>
        </w:rPr>
        <w:t xml:space="preserve"> </w:t>
      </w:r>
      <w:r w:rsidRPr="0031693D">
        <w:rPr>
          <w:i/>
          <w:sz w:val="18"/>
          <w:szCs w:val="18"/>
        </w:rPr>
        <w:tab/>
      </w:r>
      <w:proofErr w:type="spellStart"/>
      <w:r w:rsidR="005712D8" w:rsidRPr="0031693D">
        <w:rPr>
          <w:i/>
          <w:sz w:val="18"/>
          <w:szCs w:val="18"/>
        </w:rPr>
        <w:t>Bài</w:t>
      </w:r>
      <w:proofErr w:type="spellEnd"/>
      <w:r w:rsidR="005712D8" w:rsidRPr="0031693D">
        <w:rPr>
          <w:i/>
          <w:sz w:val="18"/>
          <w:szCs w:val="18"/>
        </w:rPr>
        <w:t xml:space="preserve"> </w:t>
      </w:r>
      <w:proofErr w:type="spellStart"/>
      <w:r w:rsidR="005712D8" w:rsidRPr="0031693D">
        <w:rPr>
          <w:i/>
          <w:sz w:val="18"/>
          <w:szCs w:val="18"/>
        </w:rPr>
        <w:t>báo</w:t>
      </w:r>
      <w:proofErr w:type="spellEnd"/>
      <w:r w:rsidR="005712D8" w:rsidRPr="0031693D">
        <w:rPr>
          <w:i/>
          <w:sz w:val="18"/>
          <w:szCs w:val="18"/>
        </w:rPr>
        <w:t xml:space="preserve"> “Notional vs. Physical Cash Pooling Revisited” (</w:t>
      </w:r>
      <w:proofErr w:type="spellStart"/>
      <w:r w:rsidR="005712D8" w:rsidRPr="0031693D">
        <w:rPr>
          <w:i/>
          <w:sz w:val="18"/>
          <w:szCs w:val="18"/>
        </w:rPr>
        <w:t>tạm</w:t>
      </w:r>
      <w:proofErr w:type="spellEnd"/>
      <w:r w:rsidR="005712D8" w:rsidRPr="0031693D">
        <w:rPr>
          <w:i/>
          <w:sz w:val="18"/>
          <w:szCs w:val="18"/>
        </w:rPr>
        <w:t xml:space="preserve"> </w:t>
      </w:r>
      <w:proofErr w:type="spellStart"/>
      <w:r w:rsidR="005712D8" w:rsidRPr="0031693D">
        <w:rPr>
          <w:i/>
          <w:sz w:val="18"/>
          <w:szCs w:val="18"/>
        </w:rPr>
        <w:t>dịch</w:t>
      </w:r>
      <w:proofErr w:type="spellEnd"/>
      <w:r w:rsidR="005712D8" w:rsidRPr="0031693D">
        <w:rPr>
          <w:i/>
          <w:sz w:val="18"/>
          <w:szCs w:val="18"/>
        </w:rPr>
        <w:t xml:space="preserve"> sang </w:t>
      </w:r>
      <w:proofErr w:type="spellStart"/>
      <w:r w:rsidR="005712D8" w:rsidRPr="0031693D">
        <w:rPr>
          <w:i/>
          <w:sz w:val="18"/>
          <w:szCs w:val="18"/>
        </w:rPr>
        <w:t>tiếng</w:t>
      </w:r>
      <w:proofErr w:type="spellEnd"/>
      <w:r w:rsidR="005712D8" w:rsidRPr="0031693D">
        <w:rPr>
          <w:i/>
          <w:sz w:val="18"/>
          <w:szCs w:val="18"/>
        </w:rPr>
        <w:t xml:space="preserve"> Việt </w:t>
      </w:r>
      <w:proofErr w:type="spellStart"/>
      <w:r w:rsidR="005712D8" w:rsidRPr="0031693D">
        <w:rPr>
          <w:i/>
          <w:sz w:val="18"/>
          <w:szCs w:val="18"/>
        </w:rPr>
        <w:t>là</w:t>
      </w:r>
      <w:proofErr w:type="spellEnd"/>
      <w:r w:rsidR="005712D8" w:rsidRPr="0031693D">
        <w:rPr>
          <w:i/>
          <w:sz w:val="18"/>
          <w:szCs w:val="18"/>
        </w:rPr>
        <w:t xml:space="preserve"> “</w:t>
      </w:r>
      <w:proofErr w:type="spellStart"/>
      <w:r w:rsidR="00A92E5B" w:rsidRPr="0031693D">
        <w:rPr>
          <w:i/>
          <w:sz w:val="18"/>
          <w:szCs w:val="18"/>
        </w:rPr>
        <w:t>Xét</w:t>
      </w:r>
      <w:proofErr w:type="spellEnd"/>
      <w:r w:rsidR="00A92E5B" w:rsidRPr="0031693D">
        <w:rPr>
          <w:i/>
          <w:sz w:val="18"/>
          <w:szCs w:val="18"/>
        </w:rPr>
        <w:t xml:space="preserve"> </w:t>
      </w:r>
      <w:proofErr w:type="spellStart"/>
      <w:r w:rsidR="00A92E5B" w:rsidRPr="0031693D">
        <w:rPr>
          <w:i/>
          <w:sz w:val="18"/>
          <w:szCs w:val="18"/>
        </w:rPr>
        <w:t>lại</w:t>
      </w:r>
      <w:proofErr w:type="spellEnd"/>
      <w:r w:rsidR="00A92E5B" w:rsidRPr="0031693D">
        <w:rPr>
          <w:i/>
          <w:sz w:val="18"/>
          <w:szCs w:val="18"/>
        </w:rPr>
        <w:t xml:space="preserve"> Phương </w:t>
      </w:r>
      <w:proofErr w:type="spellStart"/>
      <w:r w:rsidR="00A92E5B" w:rsidRPr="0031693D">
        <w:rPr>
          <w:i/>
          <w:sz w:val="18"/>
          <w:szCs w:val="18"/>
        </w:rPr>
        <w:t>thức</w:t>
      </w:r>
      <w:proofErr w:type="spellEnd"/>
      <w:r w:rsidR="00A92E5B" w:rsidRPr="0031693D">
        <w:rPr>
          <w:i/>
          <w:sz w:val="18"/>
          <w:szCs w:val="18"/>
        </w:rPr>
        <w:t xml:space="preserve"> </w:t>
      </w:r>
      <w:proofErr w:type="spellStart"/>
      <w:r w:rsidR="00A92E5B" w:rsidRPr="0031693D">
        <w:rPr>
          <w:i/>
          <w:sz w:val="18"/>
          <w:szCs w:val="18"/>
        </w:rPr>
        <w:t>kết</w:t>
      </w:r>
      <w:proofErr w:type="spellEnd"/>
      <w:r w:rsidR="00A92E5B" w:rsidRPr="0031693D">
        <w:rPr>
          <w:i/>
          <w:sz w:val="18"/>
          <w:szCs w:val="18"/>
        </w:rPr>
        <w:t xml:space="preserve"> </w:t>
      </w:r>
      <w:proofErr w:type="spellStart"/>
      <w:r w:rsidR="00A92E5B" w:rsidRPr="0031693D">
        <w:rPr>
          <w:i/>
          <w:sz w:val="18"/>
          <w:szCs w:val="18"/>
        </w:rPr>
        <w:t>chuyển</w:t>
      </w:r>
      <w:proofErr w:type="spellEnd"/>
      <w:r w:rsidR="00A92E5B" w:rsidRPr="0031693D">
        <w:rPr>
          <w:i/>
          <w:sz w:val="18"/>
          <w:szCs w:val="18"/>
        </w:rPr>
        <w:t xml:space="preserve"> </w:t>
      </w:r>
      <w:proofErr w:type="spellStart"/>
      <w:r w:rsidR="00A92E5B" w:rsidRPr="0031693D">
        <w:rPr>
          <w:i/>
          <w:sz w:val="18"/>
          <w:szCs w:val="18"/>
        </w:rPr>
        <w:t>tiền</w:t>
      </w:r>
      <w:proofErr w:type="spellEnd"/>
      <w:r w:rsidR="00A92E5B" w:rsidRPr="0031693D">
        <w:rPr>
          <w:i/>
          <w:sz w:val="18"/>
          <w:szCs w:val="18"/>
        </w:rPr>
        <w:t xml:space="preserve"> </w:t>
      </w:r>
      <w:proofErr w:type="spellStart"/>
      <w:r w:rsidR="00A92E5B" w:rsidRPr="0031693D">
        <w:rPr>
          <w:i/>
          <w:sz w:val="18"/>
          <w:szCs w:val="18"/>
        </w:rPr>
        <w:t>mặt</w:t>
      </w:r>
      <w:proofErr w:type="spellEnd"/>
      <w:r w:rsidR="00A92E5B" w:rsidRPr="0031693D">
        <w:rPr>
          <w:i/>
          <w:sz w:val="18"/>
          <w:szCs w:val="18"/>
        </w:rPr>
        <w:t xml:space="preserve"> </w:t>
      </w:r>
      <w:proofErr w:type="spellStart"/>
      <w:r w:rsidR="00A92E5B" w:rsidRPr="0031693D">
        <w:rPr>
          <w:i/>
          <w:sz w:val="18"/>
          <w:szCs w:val="18"/>
        </w:rPr>
        <w:t>danh</w:t>
      </w:r>
      <w:proofErr w:type="spellEnd"/>
      <w:r w:rsidR="00A92E5B" w:rsidRPr="0031693D">
        <w:rPr>
          <w:i/>
          <w:sz w:val="18"/>
          <w:szCs w:val="18"/>
        </w:rPr>
        <w:t xml:space="preserve"> </w:t>
      </w:r>
      <w:proofErr w:type="spellStart"/>
      <w:r w:rsidR="00A92E5B" w:rsidRPr="0031693D">
        <w:rPr>
          <w:i/>
          <w:sz w:val="18"/>
          <w:szCs w:val="18"/>
        </w:rPr>
        <w:t>nghĩa</w:t>
      </w:r>
      <w:proofErr w:type="spellEnd"/>
      <w:r w:rsidR="00A92E5B" w:rsidRPr="0031693D">
        <w:rPr>
          <w:i/>
          <w:sz w:val="18"/>
          <w:szCs w:val="18"/>
        </w:rPr>
        <w:t xml:space="preserve"> </w:t>
      </w:r>
      <w:proofErr w:type="spellStart"/>
      <w:r w:rsidR="00A92E5B" w:rsidRPr="0031693D">
        <w:rPr>
          <w:i/>
          <w:sz w:val="18"/>
          <w:szCs w:val="18"/>
        </w:rPr>
        <w:t>và</w:t>
      </w:r>
      <w:proofErr w:type="spellEnd"/>
      <w:r w:rsidR="00A92E5B" w:rsidRPr="0031693D">
        <w:rPr>
          <w:i/>
          <w:sz w:val="18"/>
          <w:szCs w:val="18"/>
        </w:rPr>
        <w:t xml:space="preserve"> </w:t>
      </w:r>
      <w:proofErr w:type="spellStart"/>
      <w:r w:rsidR="00A92E5B" w:rsidRPr="0031693D">
        <w:rPr>
          <w:i/>
          <w:sz w:val="18"/>
          <w:szCs w:val="18"/>
        </w:rPr>
        <w:t>hữu</w:t>
      </w:r>
      <w:proofErr w:type="spellEnd"/>
      <w:r w:rsidR="00A92E5B" w:rsidRPr="0031693D">
        <w:rPr>
          <w:i/>
          <w:sz w:val="18"/>
          <w:szCs w:val="18"/>
        </w:rPr>
        <w:t xml:space="preserve"> </w:t>
      </w:r>
      <w:proofErr w:type="spellStart"/>
      <w:r w:rsidR="00A92E5B" w:rsidRPr="0031693D">
        <w:rPr>
          <w:i/>
          <w:sz w:val="18"/>
          <w:szCs w:val="18"/>
        </w:rPr>
        <w:t>hình</w:t>
      </w:r>
      <w:proofErr w:type="spellEnd"/>
      <w:r w:rsidR="00A92E5B" w:rsidRPr="0031693D">
        <w:rPr>
          <w:i/>
          <w:sz w:val="18"/>
          <w:szCs w:val="18"/>
        </w:rPr>
        <w:t xml:space="preserve">”) </w:t>
      </w:r>
      <w:proofErr w:type="spellStart"/>
      <w:r w:rsidR="00A92E5B" w:rsidRPr="0031693D">
        <w:rPr>
          <w:i/>
          <w:sz w:val="18"/>
          <w:szCs w:val="18"/>
        </w:rPr>
        <w:t>của</w:t>
      </w:r>
      <w:proofErr w:type="spellEnd"/>
      <w:r w:rsidR="00A92E5B" w:rsidRPr="0031693D">
        <w:rPr>
          <w:i/>
          <w:sz w:val="18"/>
          <w:szCs w:val="18"/>
        </w:rPr>
        <w:t xml:space="preserve"> </w:t>
      </w:r>
      <w:r w:rsidR="005712D8" w:rsidRPr="0031693D">
        <w:rPr>
          <w:i/>
          <w:sz w:val="18"/>
          <w:szCs w:val="18"/>
        </w:rPr>
        <w:t xml:space="preserve"> </w:t>
      </w:r>
      <w:r w:rsidR="00A92E5B" w:rsidRPr="0031693D">
        <w:rPr>
          <w:i/>
          <w:sz w:val="18"/>
          <w:szCs w:val="18"/>
        </w:rPr>
        <w:t xml:space="preserve">Susan Hillman (2011) </w:t>
      </w:r>
      <w:proofErr w:type="spellStart"/>
      <w:r w:rsidR="00A92E5B" w:rsidRPr="0031693D">
        <w:rPr>
          <w:i/>
          <w:sz w:val="18"/>
          <w:szCs w:val="18"/>
        </w:rPr>
        <w:t>trên</w:t>
      </w:r>
      <w:proofErr w:type="spellEnd"/>
      <w:r w:rsidR="00A92E5B" w:rsidRPr="0031693D">
        <w:rPr>
          <w:i/>
          <w:sz w:val="18"/>
          <w:szCs w:val="18"/>
        </w:rPr>
        <w:t xml:space="preserve"> </w:t>
      </w:r>
      <w:proofErr w:type="spellStart"/>
      <w:r w:rsidR="00A92E5B" w:rsidRPr="0031693D">
        <w:rPr>
          <w:i/>
          <w:sz w:val="18"/>
          <w:szCs w:val="18"/>
        </w:rPr>
        <w:t>tờ</w:t>
      </w:r>
      <w:proofErr w:type="spellEnd"/>
      <w:r w:rsidR="00A92E5B" w:rsidRPr="0031693D">
        <w:rPr>
          <w:i/>
          <w:sz w:val="18"/>
          <w:szCs w:val="18"/>
        </w:rPr>
        <w:t xml:space="preserve"> </w:t>
      </w:r>
      <w:proofErr w:type="spellStart"/>
      <w:r w:rsidR="00A92E5B" w:rsidRPr="0031693D">
        <w:rPr>
          <w:i/>
          <w:sz w:val="18"/>
          <w:szCs w:val="18"/>
        </w:rPr>
        <w:t>báo</w:t>
      </w:r>
      <w:proofErr w:type="spellEnd"/>
      <w:r w:rsidR="00A92E5B" w:rsidRPr="0031693D">
        <w:rPr>
          <w:i/>
          <w:sz w:val="18"/>
          <w:szCs w:val="18"/>
        </w:rPr>
        <w:t xml:space="preserve"> </w:t>
      </w:r>
      <w:r w:rsidRPr="0031693D">
        <w:rPr>
          <w:i/>
          <w:sz w:val="18"/>
          <w:szCs w:val="18"/>
        </w:rPr>
        <w:t xml:space="preserve">International Treasurer </w:t>
      </w:r>
      <w:proofErr w:type="spellStart"/>
      <w:r w:rsidR="00A92E5B" w:rsidRPr="0031693D">
        <w:rPr>
          <w:i/>
          <w:sz w:val="18"/>
          <w:szCs w:val="18"/>
        </w:rPr>
        <w:t>được</w:t>
      </w:r>
      <w:proofErr w:type="spellEnd"/>
      <w:r w:rsidR="00A92E5B" w:rsidRPr="0031693D">
        <w:rPr>
          <w:i/>
          <w:sz w:val="18"/>
          <w:szCs w:val="18"/>
        </w:rPr>
        <w:t xml:space="preserve"> </w:t>
      </w:r>
      <w:proofErr w:type="spellStart"/>
      <w:r w:rsidR="00A92E5B" w:rsidRPr="0031693D">
        <w:rPr>
          <w:i/>
          <w:sz w:val="18"/>
          <w:szCs w:val="18"/>
        </w:rPr>
        <w:t>tìm</w:t>
      </w:r>
      <w:proofErr w:type="spellEnd"/>
      <w:r w:rsidR="00A92E5B" w:rsidRPr="0031693D">
        <w:rPr>
          <w:i/>
          <w:sz w:val="18"/>
          <w:szCs w:val="18"/>
        </w:rPr>
        <w:t xml:space="preserve"> </w:t>
      </w:r>
      <w:proofErr w:type="spellStart"/>
      <w:r w:rsidR="00A92E5B" w:rsidRPr="0031693D">
        <w:rPr>
          <w:i/>
          <w:sz w:val="18"/>
          <w:szCs w:val="18"/>
        </w:rPr>
        <w:t>thấy</w:t>
      </w:r>
      <w:proofErr w:type="spellEnd"/>
      <w:r w:rsidR="00A92E5B" w:rsidRPr="0031693D">
        <w:rPr>
          <w:i/>
          <w:sz w:val="18"/>
          <w:szCs w:val="18"/>
        </w:rPr>
        <w:t xml:space="preserve"> </w:t>
      </w:r>
      <w:proofErr w:type="spellStart"/>
      <w:r w:rsidR="00A92E5B" w:rsidRPr="0031693D">
        <w:rPr>
          <w:i/>
          <w:sz w:val="18"/>
          <w:szCs w:val="18"/>
        </w:rPr>
        <w:t>tại</w:t>
      </w:r>
      <w:proofErr w:type="spellEnd"/>
      <w:r w:rsidRPr="0031693D">
        <w:rPr>
          <w:i/>
          <w:sz w:val="18"/>
          <w:szCs w:val="18"/>
        </w:rPr>
        <w:t xml:space="preserve">: </w:t>
      </w:r>
      <w:hyperlink r:id="rId1" w:history="1">
        <w:r w:rsidRPr="0031693D">
          <w:rPr>
            <w:rStyle w:val="Hyperlink"/>
            <w:i/>
            <w:sz w:val="18"/>
            <w:szCs w:val="18"/>
          </w:rPr>
          <w:t>http://www.treasuryalliance.com/assets/publications/cash/Treasury_Alliance_Notional_Physical_Pooling_Revisited.pdf</w:t>
        </w:r>
      </w:hyperlink>
      <w:r w:rsidRPr="0031693D">
        <w:rPr>
          <w:i/>
          <w:sz w:val="18"/>
          <w:szCs w:val="18"/>
        </w:rPr>
        <w:t xml:space="preserve"> (</w:t>
      </w:r>
      <w:proofErr w:type="spellStart"/>
      <w:r w:rsidR="00A92E5B" w:rsidRPr="0031693D">
        <w:rPr>
          <w:i/>
          <w:sz w:val="18"/>
          <w:szCs w:val="18"/>
        </w:rPr>
        <w:t>Truy</w:t>
      </w:r>
      <w:proofErr w:type="spellEnd"/>
      <w:r w:rsidR="00A92E5B" w:rsidRPr="0031693D">
        <w:rPr>
          <w:i/>
          <w:sz w:val="18"/>
          <w:szCs w:val="18"/>
        </w:rPr>
        <w:t xml:space="preserve"> </w:t>
      </w:r>
      <w:proofErr w:type="spellStart"/>
      <w:r w:rsidR="00A92E5B" w:rsidRPr="0031693D">
        <w:rPr>
          <w:i/>
          <w:sz w:val="18"/>
          <w:szCs w:val="18"/>
        </w:rPr>
        <w:t>cập</w:t>
      </w:r>
      <w:proofErr w:type="spellEnd"/>
      <w:r w:rsidR="00A92E5B" w:rsidRPr="0031693D">
        <w:rPr>
          <w:i/>
          <w:sz w:val="18"/>
          <w:szCs w:val="18"/>
        </w:rPr>
        <w:t xml:space="preserve"> </w:t>
      </w:r>
      <w:proofErr w:type="spellStart"/>
      <w:r w:rsidR="00A92E5B" w:rsidRPr="0031693D">
        <w:rPr>
          <w:i/>
          <w:sz w:val="18"/>
          <w:szCs w:val="18"/>
        </w:rPr>
        <w:t>ngày</w:t>
      </w:r>
      <w:proofErr w:type="spellEnd"/>
      <w:r w:rsidRPr="0031693D">
        <w:rPr>
          <w:i/>
          <w:sz w:val="18"/>
          <w:szCs w:val="18"/>
        </w:rPr>
        <w:t xml:space="preserve"> </w:t>
      </w:r>
      <w:r w:rsidR="00A92E5B" w:rsidRPr="0031693D">
        <w:rPr>
          <w:i/>
          <w:sz w:val="18"/>
          <w:szCs w:val="18"/>
        </w:rPr>
        <w:t>0</w:t>
      </w:r>
      <w:r w:rsidRPr="0031693D">
        <w:rPr>
          <w:i/>
          <w:sz w:val="18"/>
          <w:szCs w:val="18"/>
        </w:rPr>
        <w:t>3</w:t>
      </w:r>
      <w:r w:rsidR="004D3C54" w:rsidRPr="0031693D">
        <w:rPr>
          <w:i/>
          <w:sz w:val="18"/>
          <w:szCs w:val="18"/>
        </w:rPr>
        <w:t xml:space="preserve"> </w:t>
      </w:r>
      <w:proofErr w:type="spellStart"/>
      <w:r w:rsidR="004D3C54" w:rsidRPr="0031693D">
        <w:rPr>
          <w:i/>
          <w:sz w:val="18"/>
          <w:szCs w:val="18"/>
        </w:rPr>
        <w:t>tháng</w:t>
      </w:r>
      <w:proofErr w:type="spellEnd"/>
      <w:r w:rsidR="004D3C54" w:rsidRPr="0031693D">
        <w:rPr>
          <w:i/>
          <w:sz w:val="18"/>
          <w:szCs w:val="18"/>
        </w:rPr>
        <w:t xml:space="preserve"> </w:t>
      </w:r>
      <w:r w:rsidR="00A92E5B" w:rsidRPr="0031693D">
        <w:rPr>
          <w:i/>
          <w:sz w:val="18"/>
          <w:szCs w:val="18"/>
        </w:rPr>
        <w:t>11</w:t>
      </w:r>
      <w:r w:rsidR="004D3C54" w:rsidRPr="0031693D">
        <w:rPr>
          <w:i/>
          <w:sz w:val="18"/>
          <w:szCs w:val="18"/>
        </w:rPr>
        <w:t xml:space="preserve"> </w:t>
      </w:r>
      <w:proofErr w:type="spellStart"/>
      <w:r w:rsidR="004D3C54" w:rsidRPr="0031693D">
        <w:rPr>
          <w:i/>
          <w:sz w:val="18"/>
          <w:szCs w:val="18"/>
        </w:rPr>
        <w:t>năm</w:t>
      </w:r>
      <w:proofErr w:type="spellEnd"/>
      <w:r w:rsidR="004D3C54" w:rsidRPr="0031693D">
        <w:rPr>
          <w:i/>
          <w:sz w:val="18"/>
          <w:szCs w:val="18"/>
        </w:rPr>
        <w:t xml:space="preserve"> </w:t>
      </w:r>
      <w:r w:rsidRPr="0031693D">
        <w:rPr>
          <w:i/>
          <w:sz w:val="18"/>
          <w:szCs w:val="18"/>
        </w:rPr>
        <w:t>2017)</w:t>
      </w:r>
    </w:p>
  </w:footnote>
  <w:footnote w:id="2">
    <w:p w:rsidR="00F76432" w:rsidRPr="0031693D" w:rsidRDefault="00F76432" w:rsidP="0031693D">
      <w:pPr>
        <w:pStyle w:val="FootnoteText"/>
        <w:ind w:left="360" w:hanging="360"/>
        <w:rPr>
          <w:b/>
          <w:i/>
          <w:sz w:val="18"/>
          <w:szCs w:val="18"/>
          <w:lang w:val="en-US"/>
        </w:rPr>
      </w:pPr>
      <w:r w:rsidRPr="0031693D">
        <w:rPr>
          <w:rStyle w:val="FootnoteReference"/>
          <w:i/>
          <w:sz w:val="18"/>
          <w:szCs w:val="18"/>
        </w:rPr>
        <w:footnoteRef/>
      </w:r>
      <w:r w:rsidRPr="0031693D">
        <w:rPr>
          <w:i/>
          <w:sz w:val="18"/>
          <w:szCs w:val="18"/>
        </w:rPr>
        <w:t xml:space="preserve"> </w:t>
      </w:r>
      <w:r w:rsidRPr="0031693D">
        <w:rPr>
          <w:i/>
          <w:sz w:val="18"/>
          <w:szCs w:val="18"/>
          <w:lang w:val="en-US"/>
        </w:rPr>
        <w:tab/>
      </w:r>
      <w:proofErr w:type="spellStart"/>
      <w:r w:rsidR="006D7B60" w:rsidRPr="0031693D">
        <w:rPr>
          <w:i/>
          <w:sz w:val="18"/>
          <w:szCs w:val="18"/>
          <w:lang w:val="en-US"/>
        </w:rPr>
        <w:t>Khoản</w:t>
      </w:r>
      <w:proofErr w:type="spellEnd"/>
      <w:r w:rsidR="006D7B60" w:rsidRPr="0031693D">
        <w:rPr>
          <w:i/>
          <w:sz w:val="18"/>
          <w:szCs w:val="18"/>
          <w:lang w:val="en-US"/>
        </w:rPr>
        <w:t xml:space="preserve"> 2 </w:t>
      </w:r>
      <w:proofErr w:type="spellStart"/>
      <w:r w:rsidR="00634D50" w:rsidRPr="0031693D">
        <w:rPr>
          <w:i/>
          <w:sz w:val="18"/>
          <w:szCs w:val="18"/>
          <w:lang w:val="en-US"/>
        </w:rPr>
        <w:t>Điều</w:t>
      </w:r>
      <w:proofErr w:type="spellEnd"/>
      <w:r w:rsidR="00634D50" w:rsidRPr="0031693D">
        <w:rPr>
          <w:i/>
          <w:sz w:val="18"/>
          <w:szCs w:val="18"/>
          <w:lang w:val="en-US"/>
        </w:rPr>
        <w:t xml:space="preserve"> </w:t>
      </w:r>
      <w:r w:rsidR="006D7B60" w:rsidRPr="0031693D">
        <w:rPr>
          <w:i/>
          <w:sz w:val="18"/>
          <w:szCs w:val="18"/>
          <w:lang w:val="en-US"/>
        </w:rPr>
        <w:t>160</w:t>
      </w:r>
      <w:r w:rsidRPr="0031693D">
        <w:rPr>
          <w:i/>
          <w:sz w:val="18"/>
          <w:szCs w:val="18"/>
          <w:lang w:val="en-US"/>
        </w:rPr>
        <w:t xml:space="preserve"> </w:t>
      </w:r>
      <w:proofErr w:type="spellStart"/>
      <w:r w:rsidR="00634D50" w:rsidRPr="0031693D">
        <w:rPr>
          <w:i/>
          <w:sz w:val="18"/>
          <w:szCs w:val="18"/>
          <w:lang w:val="en-US"/>
        </w:rPr>
        <w:t>Bộ</w:t>
      </w:r>
      <w:proofErr w:type="spellEnd"/>
      <w:r w:rsidR="00634D50" w:rsidRPr="0031693D">
        <w:rPr>
          <w:i/>
          <w:sz w:val="18"/>
          <w:szCs w:val="18"/>
          <w:lang w:val="en-US"/>
        </w:rPr>
        <w:t xml:space="preserve"> </w:t>
      </w:r>
      <w:proofErr w:type="spellStart"/>
      <w:r w:rsidR="00634D50" w:rsidRPr="0031693D">
        <w:rPr>
          <w:i/>
          <w:sz w:val="18"/>
          <w:szCs w:val="18"/>
          <w:lang w:val="en-US"/>
        </w:rPr>
        <w:t>Luật</w:t>
      </w:r>
      <w:proofErr w:type="spellEnd"/>
      <w:r w:rsidR="00634D50" w:rsidRPr="0031693D">
        <w:rPr>
          <w:i/>
          <w:sz w:val="18"/>
          <w:szCs w:val="18"/>
          <w:lang w:val="en-US"/>
        </w:rPr>
        <w:t xml:space="preserve"> </w:t>
      </w:r>
      <w:proofErr w:type="spellStart"/>
      <w:r w:rsidR="00634D50" w:rsidRPr="0031693D">
        <w:rPr>
          <w:i/>
          <w:sz w:val="18"/>
          <w:szCs w:val="18"/>
          <w:lang w:val="en-US"/>
        </w:rPr>
        <w:t>Dân</w:t>
      </w:r>
      <w:proofErr w:type="spellEnd"/>
      <w:r w:rsidR="00634D50" w:rsidRPr="0031693D">
        <w:rPr>
          <w:i/>
          <w:sz w:val="18"/>
          <w:szCs w:val="18"/>
          <w:lang w:val="en-US"/>
        </w:rPr>
        <w:t xml:space="preserve"> Sự </w:t>
      </w:r>
      <w:proofErr w:type="spellStart"/>
      <w:r w:rsidR="00634D50" w:rsidRPr="0031693D">
        <w:rPr>
          <w:i/>
          <w:sz w:val="18"/>
          <w:szCs w:val="18"/>
          <w:lang w:val="en-US"/>
        </w:rPr>
        <w:t>số</w:t>
      </w:r>
      <w:proofErr w:type="spellEnd"/>
      <w:r w:rsidR="00634D50" w:rsidRPr="0031693D">
        <w:rPr>
          <w:i/>
          <w:sz w:val="18"/>
          <w:szCs w:val="18"/>
          <w:lang w:val="en-US"/>
        </w:rPr>
        <w:t xml:space="preserve"> </w:t>
      </w:r>
      <w:r w:rsidRPr="0031693D">
        <w:rPr>
          <w:i/>
          <w:sz w:val="18"/>
          <w:szCs w:val="18"/>
          <w:lang w:val="en-US"/>
        </w:rPr>
        <w:t xml:space="preserve">91/2015/QH13 </w:t>
      </w:r>
      <w:proofErr w:type="spellStart"/>
      <w:r w:rsidR="00634D50" w:rsidRPr="0031693D">
        <w:rPr>
          <w:i/>
          <w:sz w:val="18"/>
          <w:szCs w:val="18"/>
          <w:lang w:val="en-US"/>
        </w:rPr>
        <w:t>được</w:t>
      </w:r>
      <w:proofErr w:type="spellEnd"/>
      <w:r w:rsidR="00634D50" w:rsidRPr="0031693D">
        <w:rPr>
          <w:i/>
          <w:sz w:val="18"/>
          <w:szCs w:val="18"/>
          <w:lang w:val="en-US"/>
        </w:rPr>
        <w:t xml:space="preserve"> </w:t>
      </w:r>
      <w:proofErr w:type="spellStart"/>
      <w:r w:rsidR="00634D50" w:rsidRPr="0031693D">
        <w:rPr>
          <w:i/>
          <w:sz w:val="18"/>
          <w:szCs w:val="18"/>
          <w:lang w:val="en-US"/>
        </w:rPr>
        <w:t>Quốc</w:t>
      </w:r>
      <w:proofErr w:type="spellEnd"/>
      <w:r w:rsidR="00634D50" w:rsidRPr="0031693D">
        <w:rPr>
          <w:i/>
          <w:sz w:val="18"/>
          <w:szCs w:val="18"/>
          <w:lang w:val="en-US"/>
        </w:rPr>
        <w:t xml:space="preserve"> </w:t>
      </w:r>
      <w:proofErr w:type="spellStart"/>
      <w:r w:rsidR="00634D50" w:rsidRPr="0031693D">
        <w:rPr>
          <w:i/>
          <w:sz w:val="18"/>
          <w:szCs w:val="18"/>
          <w:lang w:val="en-US"/>
        </w:rPr>
        <w:t>Hội</w:t>
      </w:r>
      <w:proofErr w:type="spellEnd"/>
      <w:r w:rsidR="00634D50" w:rsidRPr="0031693D">
        <w:rPr>
          <w:i/>
          <w:sz w:val="18"/>
          <w:szCs w:val="18"/>
          <w:lang w:val="en-US"/>
        </w:rPr>
        <w:t xml:space="preserve"> </w:t>
      </w:r>
      <w:proofErr w:type="spellStart"/>
      <w:r w:rsidR="00634D50" w:rsidRPr="0031693D">
        <w:rPr>
          <w:i/>
          <w:sz w:val="18"/>
          <w:szCs w:val="18"/>
          <w:lang w:val="en-US"/>
        </w:rPr>
        <w:t>thông</w:t>
      </w:r>
      <w:proofErr w:type="spellEnd"/>
      <w:r w:rsidR="00634D50" w:rsidRPr="0031693D">
        <w:rPr>
          <w:i/>
          <w:sz w:val="18"/>
          <w:szCs w:val="18"/>
          <w:lang w:val="en-US"/>
        </w:rPr>
        <w:t xml:space="preserve"> qua </w:t>
      </w:r>
      <w:proofErr w:type="spellStart"/>
      <w:r w:rsidR="00634D50" w:rsidRPr="0031693D">
        <w:rPr>
          <w:i/>
          <w:sz w:val="18"/>
          <w:szCs w:val="18"/>
          <w:lang w:val="en-US"/>
        </w:rPr>
        <w:t>ngày</w:t>
      </w:r>
      <w:proofErr w:type="spellEnd"/>
      <w:r w:rsidR="00634D50" w:rsidRPr="0031693D">
        <w:rPr>
          <w:i/>
          <w:sz w:val="18"/>
          <w:szCs w:val="18"/>
          <w:lang w:val="en-US"/>
        </w:rPr>
        <w:t xml:space="preserve"> </w:t>
      </w:r>
      <w:r w:rsidRPr="0031693D">
        <w:rPr>
          <w:i/>
          <w:sz w:val="18"/>
          <w:szCs w:val="18"/>
          <w:lang w:val="en-US"/>
        </w:rPr>
        <w:t xml:space="preserve">24 </w:t>
      </w:r>
      <w:proofErr w:type="spellStart"/>
      <w:r w:rsidR="00634D50" w:rsidRPr="0031693D">
        <w:rPr>
          <w:i/>
          <w:sz w:val="18"/>
          <w:szCs w:val="18"/>
          <w:lang w:val="en-US"/>
        </w:rPr>
        <w:t>tháng</w:t>
      </w:r>
      <w:proofErr w:type="spellEnd"/>
      <w:r w:rsidR="00634D50" w:rsidRPr="0031693D">
        <w:rPr>
          <w:i/>
          <w:sz w:val="18"/>
          <w:szCs w:val="18"/>
          <w:lang w:val="en-US"/>
        </w:rPr>
        <w:t xml:space="preserve"> 11 </w:t>
      </w:r>
      <w:proofErr w:type="spellStart"/>
      <w:r w:rsidR="00634D50" w:rsidRPr="0031693D">
        <w:rPr>
          <w:i/>
          <w:sz w:val="18"/>
          <w:szCs w:val="18"/>
          <w:lang w:val="en-US"/>
        </w:rPr>
        <w:t>năm</w:t>
      </w:r>
      <w:proofErr w:type="spellEnd"/>
      <w:r w:rsidR="00634D50" w:rsidRPr="0031693D">
        <w:rPr>
          <w:i/>
          <w:sz w:val="18"/>
          <w:szCs w:val="18"/>
          <w:lang w:val="en-US"/>
        </w:rPr>
        <w:t xml:space="preserve"> </w:t>
      </w:r>
      <w:r w:rsidRPr="0031693D">
        <w:rPr>
          <w:i/>
          <w:sz w:val="18"/>
          <w:szCs w:val="18"/>
          <w:lang w:val="en-US"/>
        </w:rPr>
        <w:t>2015</w:t>
      </w:r>
      <w:r w:rsidR="00751806" w:rsidRPr="0031693D">
        <w:rPr>
          <w:i/>
          <w:sz w:val="18"/>
          <w:szCs w:val="18"/>
          <w:lang w:val="en-US"/>
        </w:rPr>
        <w:t xml:space="preserve"> (</w:t>
      </w:r>
      <w:proofErr w:type="spellStart"/>
      <w:r w:rsidR="00634D50" w:rsidRPr="0031693D">
        <w:rPr>
          <w:b/>
          <w:i/>
          <w:sz w:val="18"/>
          <w:szCs w:val="18"/>
          <w:lang w:val="en-US"/>
        </w:rPr>
        <w:t>Bộ</w:t>
      </w:r>
      <w:proofErr w:type="spellEnd"/>
      <w:r w:rsidR="00634D50" w:rsidRPr="0031693D">
        <w:rPr>
          <w:b/>
          <w:i/>
          <w:sz w:val="18"/>
          <w:szCs w:val="18"/>
          <w:lang w:val="en-US"/>
        </w:rPr>
        <w:t xml:space="preserve"> </w:t>
      </w:r>
      <w:proofErr w:type="spellStart"/>
      <w:r w:rsidR="00634D50" w:rsidRPr="0031693D">
        <w:rPr>
          <w:b/>
          <w:i/>
          <w:sz w:val="18"/>
          <w:szCs w:val="18"/>
          <w:lang w:val="en-US"/>
        </w:rPr>
        <w:t>Luật</w:t>
      </w:r>
      <w:proofErr w:type="spellEnd"/>
      <w:r w:rsidR="00634D50" w:rsidRPr="0031693D">
        <w:rPr>
          <w:b/>
          <w:i/>
          <w:sz w:val="18"/>
          <w:szCs w:val="18"/>
          <w:lang w:val="en-US"/>
        </w:rPr>
        <w:t xml:space="preserve"> </w:t>
      </w:r>
      <w:proofErr w:type="spellStart"/>
      <w:r w:rsidR="00634D50" w:rsidRPr="0031693D">
        <w:rPr>
          <w:b/>
          <w:i/>
          <w:sz w:val="18"/>
          <w:szCs w:val="18"/>
          <w:lang w:val="en-US"/>
        </w:rPr>
        <w:t>Dân</w:t>
      </w:r>
      <w:proofErr w:type="spellEnd"/>
      <w:r w:rsidR="00634D50" w:rsidRPr="0031693D">
        <w:rPr>
          <w:b/>
          <w:i/>
          <w:sz w:val="18"/>
          <w:szCs w:val="18"/>
          <w:lang w:val="en-US"/>
        </w:rPr>
        <w:t xml:space="preserve"> Sự</w:t>
      </w:r>
      <w:r w:rsidR="00751806" w:rsidRPr="0031693D">
        <w:rPr>
          <w:b/>
          <w:i/>
          <w:sz w:val="18"/>
          <w:szCs w:val="18"/>
          <w:lang w:val="en-US"/>
        </w:rPr>
        <w:t xml:space="preserve"> 2015</w:t>
      </w:r>
      <w:r w:rsidR="00751806" w:rsidRPr="0031693D">
        <w:rPr>
          <w:i/>
          <w:sz w:val="18"/>
          <w:szCs w:val="18"/>
          <w:lang w:val="en-US"/>
        </w:rPr>
        <w:t>)</w:t>
      </w:r>
    </w:p>
  </w:footnote>
  <w:footnote w:id="3">
    <w:p w:rsidR="00751806" w:rsidRPr="0031693D" w:rsidRDefault="00751806" w:rsidP="0031693D">
      <w:pPr>
        <w:pStyle w:val="FootnoteText"/>
        <w:ind w:left="360" w:hanging="360"/>
        <w:rPr>
          <w:i/>
          <w:sz w:val="18"/>
          <w:szCs w:val="18"/>
          <w:lang w:val="en-US"/>
        </w:rPr>
      </w:pPr>
      <w:r w:rsidRPr="0031693D">
        <w:rPr>
          <w:rStyle w:val="FootnoteReference"/>
          <w:i/>
          <w:sz w:val="18"/>
          <w:szCs w:val="18"/>
        </w:rPr>
        <w:footnoteRef/>
      </w:r>
      <w:r w:rsidRPr="0031693D">
        <w:rPr>
          <w:i/>
          <w:sz w:val="18"/>
          <w:szCs w:val="18"/>
        </w:rPr>
        <w:t xml:space="preserve"> </w:t>
      </w:r>
      <w:r w:rsidRPr="0031693D">
        <w:rPr>
          <w:i/>
          <w:sz w:val="18"/>
          <w:szCs w:val="18"/>
          <w:lang w:val="en-US"/>
        </w:rPr>
        <w:tab/>
      </w:r>
      <w:proofErr w:type="spellStart"/>
      <w:r w:rsidR="00634D50" w:rsidRPr="0031693D">
        <w:rPr>
          <w:i/>
          <w:sz w:val="18"/>
          <w:szCs w:val="18"/>
          <w:lang w:val="en-US"/>
        </w:rPr>
        <w:t>Số</w:t>
      </w:r>
      <w:proofErr w:type="spellEnd"/>
      <w:r w:rsidR="00634D50" w:rsidRPr="0031693D">
        <w:rPr>
          <w:i/>
          <w:sz w:val="18"/>
          <w:szCs w:val="18"/>
          <w:lang w:val="en-US"/>
        </w:rPr>
        <w:t xml:space="preserve"> </w:t>
      </w:r>
      <w:proofErr w:type="spellStart"/>
      <w:r w:rsidR="00634D50" w:rsidRPr="0031693D">
        <w:rPr>
          <w:i/>
          <w:sz w:val="18"/>
          <w:szCs w:val="18"/>
          <w:lang w:val="en-US"/>
        </w:rPr>
        <w:t>dư</w:t>
      </w:r>
      <w:proofErr w:type="spellEnd"/>
      <w:r w:rsidR="00634D50" w:rsidRPr="0031693D">
        <w:rPr>
          <w:i/>
          <w:sz w:val="18"/>
          <w:szCs w:val="18"/>
          <w:lang w:val="en-US"/>
        </w:rPr>
        <w:t xml:space="preserve"> </w:t>
      </w:r>
      <w:proofErr w:type="spellStart"/>
      <w:r w:rsidR="00634D50" w:rsidRPr="0031693D">
        <w:rPr>
          <w:i/>
          <w:sz w:val="18"/>
          <w:szCs w:val="18"/>
          <w:lang w:val="en-US"/>
        </w:rPr>
        <w:t>trong</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khoản</w:t>
      </w:r>
      <w:proofErr w:type="spellEnd"/>
      <w:r w:rsidR="00634D50" w:rsidRPr="0031693D">
        <w:rPr>
          <w:i/>
          <w:sz w:val="18"/>
          <w:szCs w:val="18"/>
          <w:lang w:val="en-US"/>
        </w:rPr>
        <w:t xml:space="preserve"> </w:t>
      </w:r>
      <w:proofErr w:type="spellStart"/>
      <w:r w:rsidR="00634D50" w:rsidRPr="0031693D">
        <w:rPr>
          <w:i/>
          <w:sz w:val="18"/>
          <w:szCs w:val="18"/>
          <w:lang w:val="en-US"/>
        </w:rPr>
        <w:t>của</w:t>
      </w:r>
      <w:proofErr w:type="spellEnd"/>
      <w:r w:rsidR="00634D50" w:rsidRPr="0031693D">
        <w:rPr>
          <w:i/>
          <w:sz w:val="18"/>
          <w:szCs w:val="18"/>
          <w:lang w:val="en-US"/>
        </w:rPr>
        <w:t xml:space="preserve"> </w:t>
      </w:r>
      <w:proofErr w:type="spellStart"/>
      <w:r w:rsidR="00634D50" w:rsidRPr="0031693D">
        <w:rPr>
          <w:i/>
          <w:sz w:val="18"/>
          <w:szCs w:val="18"/>
          <w:lang w:val="en-US"/>
        </w:rPr>
        <w:t>các</w:t>
      </w:r>
      <w:proofErr w:type="spellEnd"/>
      <w:r w:rsidR="00634D50" w:rsidRPr="0031693D">
        <w:rPr>
          <w:i/>
          <w:sz w:val="18"/>
          <w:szCs w:val="18"/>
          <w:lang w:val="en-US"/>
        </w:rPr>
        <w:t xml:space="preserve"> </w:t>
      </w:r>
      <w:proofErr w:type="spellStart"/>
      <w:r w:rsidR="00634D50" w:rsidRPr="0031693D">
        <w:rPr>
          <w:i/>
          <w:sz w:val="18"/>
          <w:szCs w:val="18"/>
          <w:lang w:val="en-US"/>
        </w:rPr>
        <w:t>tổ</w:t>
      </w:r>
      <w:proofErr w:type="spellEnd"/>
      <w:r w:rsidR="00634D50" w:rsidRPr="0031693D">
        <w:rPr>
          <w:i/>
          <w:sz w:val="18"/>
          <w:szCs w:val="18"/>
          <w:lang w:val="en-US"/>
        </w:rPr>
        <w:t xml:space="preserve"> </w:t>
      </w:r>
      <w:proofErr w:type="spellStart"/>
      <w:r w:rsidR="00634D50" w:rsidRPr="0031693D">
        <w:rPr>
          <w:i/>
          <w:sz w:val="18"/>
          <w:szCs w:val="18"/>
          <w:lang w:val="en-US"/>
        </w:rPr>
        <w:t>chức</w:t>
      </w:r>
      <w:proofErr w:type="spellEnd"/>
      <w:r w:rsidR="00634D50" w:rsidRPr="0031693D">
        <w:rPr>
          <w:i/>
          <w:sz w:val="18"/>
          <w:szCs w:val="18"/>
          <w:lang w:val="en-US"/>
        </w:rPr>
        <w:t xml:space="preserve"> </w:t>
      </w:r>
      <w:proofErr w:type="spellStart"/>
      <w:r w:rsidR="00634D50" w:rsidRPr="0031693D">
        <w:rPr>
          <w:i/>
          <w:sz w:val="18"/>
          <w:szCs w:val="18"/>
          <w:lang w:val="en-US"/>
        </w:rPr>
        <w:t>thuộc</w:t>
      </w:r>
      <w:proofErr w:type="spellEnd"/>
      <w:r w:rsidR="00634D50" w:rsidRPr="0031693D">
        <w:rPr>
          <w:i/>
          <w:sz w:val="18"/>
          <w:szCs w:val="18"/>
          <w:lang w:val="en-US"/>
        </w:rPr>
        <w:t xml:space="preserve"> </w:t>
      </w:r>
      <w:proofErr w:type="spellStart"/>
      <w:r w:rsidR="00634D50" w:rsidRPr="0031693D">
        <w:rPr>
          <w:i/>
          <w:sz w:val="18"/>
          <w:szCs w:val="18"/>
          <w:lang w:val="en-US"/>
        </w:rPr>
        <w:t>phạm</w:t>
      </w:r>
      <w:proofErr w:type="spellEnd"/>
      <w:r w:rsidR="00634D50" w:rsidRPr="0031693D">
        <w:rPr>
          <w:i/>
          <w:sz w:val="18"/>
          <w:szCs w:val="18"/>
          <w:lang w:val="en-US"/>
        </w:rPr>
        <w:t xml:space="preserve"> vi </w:t>
      </w:r>
      <w:proofErr w:type="spellStart"/>
      <w:r w:rsidR="00634D50" w:rsidRPr="0031693D">
        <w:rPr>
          <w:i/>
          <w:sz w:val="18"/>
          <w:szCs w:val="18"/>
          <w:lang w:val="en-US"/>
        </w:rPr>
        <w:t>định</w:t>
      </w:r>
      <w:proofErr w:type="spellEnd"/>
      <w:r w:rsidR="00634D50" w:rsidRPr="0031693D">
        <w:rPr>
          <w:i/>
          <w:sz w:val="18"/>
          <w:szCs w:val="18"/>
          <w:lang w:val="en-US"/>
        </w:rPr>
        <w:t xml:space="preserve"> </w:t>
      </w:r>
      <w:proofErr w:type="spellStart"/>
      <w:r w:rsidR="00634D50" w:rsidRPr="0031693D">
        <w:rPr>
          <w:i/>
          <w:sz w:val="18"/>
          <w:szCs w:val="18"/>
          <w:lang w:val="en-US"/>
        </w:rPr>
        <w:t>nghĩa</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sản</w:t>
      </w:r>
      <w:proofErr w:type="spellEnd"/>
      <w:r w:rsidR="00634D50" w:rsidRPr="0031693D">
        <w:rPr>
          <w:i/>
          <w:sz w:val="18"/>
          <w:szCs w:val="18"/>
          <w:lang w:val="en-US"/>
        </w:rPr>
        <w:t xml:space="preserve"> </w:t>
      </w:r>
      <w:proofErr w:type="spellStart"/>
      <w:r w:rsidR="00634D50" w:rsidRPr="0031693D">
        <w:rPr>
          <w:i/>
          <w:sz w:val="18"/>
          <w:szCs w:val="18"/>
          <w:lang w:val="en-US"/>
        </w:rPr>
        <w:t>theo</w:t>
      </w:r>
      <w:proofErr w:type="spellEnd"/>
      <w:r w:rsidR="00634D50" w:rsidRPr="0031693D">
        <w:rPr>
          <w:i/>
          <w:sz w:val="18"/>
          <w:szCs w:val="18"/>
          <w:lang w:val="en-US"/>
        </w:rPr>
        <w:t xml:space="preserve"> </w:t>
      </w:r>
      <w:proofErr w:type="spellStart"/>
      <w:r w:rsidR="00634D50" w:rsidRPr="0031693D">
        <w:rPr>
          <w:i/>
          <w:sz w:val="18"/>
          <w:szCs w:val="18"/>
          <w:lang w:val="en-US"/>
        </w:rPr>
        <w:t>Điều</w:t>
      </w:r>
      <w:proofErr w:type="spellEnd"/>
      <w:r w:rsidR="00634D50" w:rsidRPr="0031693D">
        <w:rPr>
          <w:i/>
          <w:sz w:val="18"/>
          <w:szCs w:val="18"/>
          <w:lang w:val="en-US"/>
        </w:rPr>
        <w:t xml:space="preserve"> </w:t>
      </w:r>
      <w:r w:rsidRPr="0031693D">
        <w:rPr>
          <w:i/>
          <w:sz w:val="18"/>
          <w:szCs w:val="18"/>
          <w:lang w:val="en-US"/>
        </w:rPr>
        <w:t>105</w:t>
      </w:r>
      <w:r w:rsidR="00634D50" w:rsidRPr="0031693D">
        <w:rPr>
          <w:i/>
          <w:sz w:val="18"/>
          <w:szCs w:val="18"/>
          <w:lang w:val="en-US"/>
        </w:rPr>
        <w:t xml:space="preserve"> </w:t>
      </w:r>
      <w:proofErr w:type="spellStart"/>
      <w:r w:rsidR="00634D50" w:rsidRPr="0031693D">
        <w:rPr>
          <w:i/>
          <w:sz w:val="18"/>
          <w:szCs w:val="18"/>
          <w:lang w:val="en-US"/>
        </w:rPr>
        <w:t>Bộ</w:t>
      </w:r>
      <w:proofErr w:type="spellEnd"/>
      <w:r w:rsidR="00634D50" w:rsidRPr="0031693D">
        <w:rPr>
          <w:i/>
          <w:sz w:val="18"/>
          <w:szCs w:val="18"/>
          <w:lang w:val="en-US"/>
        </w:rPr>
        <w:t xml:space="preserve"> </w:t>
      </w:r>
      <w:proofErr w:type="spellStart"/>
      <w:r w:rsidR="00634D50" w:rsidRPr="0031693D">
        <w:rPr>
          <w:i/>
          <w:sz w:val="18"/>
          <w:szCs w:val="18"/>
          <w:lang w:val="en-US"/>
        </w:rPr>
        <w:t>Luật</w:t>
      </w:r>
      <w:proofErr w:type="spellEnd"/>
      <w:r w:rsidR="00634D50" w:rsidRPr="0031693D">
        <w:rPr>
          <w:i/>
          <w:sz w:val="18"/>
          <w:szCs w:val="18"/>
          <w:lang w:val="en-US"/>
        </w:rPr>
        <w:t xml:space="preserve"> </w:t>
      </w:r>
      <w:proofErr w:type="spellStart"/>
      <w:r w:rsidR="00634D50" w:rsidRPr="0031693D">
        <w:rPr>
          <w:i/>
          <w:sz w:val="18"/>
          <w:szCs w:val="18"/>
          <w:lang w:val="en-US"/>
        </w:rPr>
        <w:t>Dân</w:t>
      </w:r>
      <w:proofErr w:type="spellEnd"/>
      <w:r w:rsidR="00634D50" w:rsidRPr="0031693D">
        <w:rPr>
          <w:i/>
          <w:sz w:val="18"/>
          <w:szCs w:val="18"/>
          <w:lang w:val="en-US"/>
        </w:rPr>
        <w:t xml:space="preserve"> Sự </w:t>
      </w:r>
      <w:r w:rsidRPr="0031693D">
        <w:rPr>
          <w:i/>
          <w:sz w:val="18"/>
          <w:szCs w:val="18"/>
          <w:lang w:val="en-US"/>
        </w:rPr>
        <w:t>2015</w:t>
      </w:r>
    </w:p>
  </w:footnote>
  <w:footnote w:id="4">
    <w:p w:rsidR="00367453" w:rsidRPr="0031693D" w:rsidRDefault="00367453" w:rsidP="0031693D">
      <w:pPr>
        <w:pStyle w:val="FootnoteText"/>
        <w:ind w:left="360" w:hanging="360"/>
        <w:rPr>
          <w:i/>
          <w:sz w:val="18"/>
          <w:szCs w:val="18"/>
          <w:lang w:val="vi-VN"/>
        </w:rPr>
      </w:pPr>
      <w:r w:rsidRPr="0031693D">
        <w:rPr>
          <w:rStyle w:val="FootnoteReference"/>
          <w:i/>
          <w:sz w:val="18"/>
          <w:szCs w:val="18"/>
        </w:rPr>
        <w:footnoteRef/>
      </w:r>
      <w:r w:rsidRPr="0031693D">
        <w:rPr>
          <w:i/>
          <w:sz w:val="18"/>
          <w:szCs w:val="18"/>
        </w:rPr>
        <w:t xml:space="preserve"> </w:t>
      </w:r>
      <w:r w:rsidRPr="0031693D">
        <w:rPr>
          <w:i/>
          <w:sz w:val="18"/>
          <w:szCs w:val="18"/>
        </w:rPr>
        <w:tab/>
      </w:r>
      <w:r w:rsidRPr="0031693D">
        <w:rPr>
          <w:i/>
          <w:sz w:val="18"/>
          <w:szCs w:val="18"/>
          <w:lang w:val="vi-VN"/>
        </w:rPr>
        <w:t xml:space="preserve">Điểm b, khoản 8 Điều 5 </w:t>
      </w:r>
      <w:r w:rsidR="007F3F86" w:rsidRPr="0031693D">
        <w:rPr>
          <w:i/>
          <w:sz w:val="18"/>
          <w:szCs w:val="18"/>
          <w:lang w:val="vi-VN"/>
        </w:rPr>
        <w:t>V</w:t>
      </w:r>
      <w:r w:rsidRPr="0031693D">
        <w:rPr>
          <w:i/>
          <w:sz w:val="18"/>
          <w:szCs w:val="18"/>
          <w:lang w:val="vi-VN"/>
        </w:rPr>
        <w:t>ăn bản hợp nhất số 01/VBHN-VPQH Luật Thuế giá trị gia tăng do Văn phòng Quốc hội ban hành ngày 28 tháng 4 năm 2016 (</w:t>
      </w:r>
      <w:r w:rsidRPr="0031693D">
        <w:rPr>
          <w:b/>
          <w:i/>
          <w:sz w:val="18"/>
          <w:szCs w:val="18"/>
          <w:lang w:val="vi-VN"/>
        </w:rPr>
        <w:t>Luật TGTGT</w:t>
      </w:r>
      <w:r w:rsidRPr="0031693D">
        <w:rPr>
          <w:i/>
          <w:sz w:val="18"/>
          <w:szCs w:val="18"/>
          <w:lang w:val="vi-VN"/>
        </w:rPr>
        <w:t>)</w:t>
      </w:r>
    </w:p>
  </w:footnote>
  <w:footnote w:id="5">
    <w:p w:rsidR="00367453" w:rsidRPr="0031693D" w:rsidRDefault="00367453" w:rsidP="0031693D">
      <w:pPr>
        <w:pStyle w:val="FootnoteText"/>
        <w:ind w:left="360" w:hanging="360"/>
        <w:rPr>
          <w:i/>
          <w:sz w:val="18"/>
          <w:szCs w:val="18"/>
        </w:rPr>
      </w:pPr>
      <w:r w:rsidRPr="0031693D">
        <w:rPr>
          <w:rStyle w:val="FootnoteReference"/>
          <w:i/>
          <w:sz w:val="18"/>
          <w:szCs w:val="18"/>
          <w:lang w:val="vi-VN"/>
        </w:rPr>
        <w:footnoteRef/>
      </w:r>
      <w:r w:rsidRPr="0031693D">
        <w:rPr>
          <w:i/>
          <w:sz w:val="18"/>
          <w:szCs w:val="18"/>
          <w:lang w:val="vi-VN"/>
        </w:rPr>
        <w:t xml:space="preserve"> </w:t>
      </w:r>
      <w:r w:rsidRPr="0031693D">
        <w:rPr>
          <w:i/>
          <w:sz w:val="18"/>
          <w:szCs w:val="18"/>
          <w:lang w:val="vi-VN"/>
        </w:rPr>
        <w:tab/>
        <w:t xml:space="preserve">Điểm b, khoản 8 Điều 4 </w:t>
      </w:r>
      <w:r w:rsidR="007F3F86" w:rsidRPr="0031693D">
        <w:rPr>
          <w:i/>
          <w:sz w:val="18"/>
          <w:szCs w:val="18"/>
          <w:lang w:val="vi-VN"/>
        </w:rPr>
        <w:t>V</w:t>
      </w:r>
      <w:r w:rsidRPr="0031693D">
        <w:rPr>
          <w:i/>
          <w:sz w:val="18"/>
          <w:szCs w:val="18"/>
          <w:lang w:val="vi-VN"/>
        </w:rPr>
        <w:t>ăn bản hợp nhất số 13/VBHN-BTC do Bộ Tài Chính ban hành ngày 15 tháng 5 năm 2017 về Thông tư hướng dẫn thi hành Luật Thuế giá  trị gia tăng và Nghị định số 209/2013/NĐ-CP ngày 18 tháng 12 năm 2013 của Chính phủ quy định chi tiết và hướng dẫn thi hành một số điều Luật thuế giá trị gia tăng</w:t>
      </w:r>
      <w:r w:rsidRPr="0031693D">
        <w:rPr>
          <w:i/>
          <w:sz w:val="18"/>
          <w:szCs w:val="18"/>
        </w:rPr>
        <w:t xml:space="preserve"> </w:t>
      </w:r>
    </w:p>
  </w:footnote>
  <w:footnote w:id="6">
    <w:p w:rsidR="00E41450" w:rsidRPr="0031693D" w:rsidRDefault="00E41450" w:rsidP="0031693D">
      <w:pPr>
        <w:pStyle w:val="FootnoteText"/>
        <w:ind w:left="360" w:hanging="360"/>
        <w:rPr>
          <w:i/>
          <w:sz w:val="18"/>
          <w:szCs w:val="18"/>
          <w:lang w:val="en-US"/>
        </w:rPr>
      </w:pPr>
      <w:r w:rsidRPr="0031693D">
        <w:rPr>
          <w:rStyle w:val="FootnoteReference"/>
          <w:i/>
          <w:sz w:val="18"/>
          <w:szCs w:val="18"/>
        </w:rPr>
        <w:footnoteRef/>
      </w:r>
      <w:r w:rsidRPr="0031693D">
        <w:rPr>
          <w:i/>
          <w:sz w:val="18"/>
          <w:szCs w:val="18"/>
        </w:rPr>
        <w:t xml:space="preserve"> </w:t>
      </w:r>
      <w:r w:rsidRPr="0031693D">
        <w:rPr>
          <w:i/>
          <w:sz w:val="18"/>
          <w:szCs w:val="18"/>
          <w:lang w:val="en-US"/>
        </w:rPr>
        <w:tab/>
      </w:r>
      <w:proofErr w:type="spellStart"/>
      <w:r w:rsidR="00634D50" w:rsidRPr="0031693D">
        <w:rPr>
          <w:i/>
          <w:sz w:val="18"/>
          <w:szCs w:val="18"/>
          <w:lang w:val="en-US"/>
        </w:rPr>
        <w:t>Điều</w:t>
      </w:r>
      <w:proofErr w:type="spellEnd"/>
      <w:r w:rsidR="00634D50" w:rsidRPr="0031693D">
        <w:rPr>
          <w:i/>
          <w:sz w:val="18"/>
          <w:szCs w:val="18"/>
          <w:lang w:val="en-US"/>
        </w:rPr>
        <w:t xml:space="preserve"> </w:t>
      </w:r>
      <w:r w:rsidRPr="0031693D">
        <w:rPr>
          <w:i/>
          <w:sz w:val="18"/>
          <w:szCs w:val="18"/>
          <w:lang w:val="en-US"/>
        </w:rPr>
        <w:t xml:space="preserve">6 </w:t>
      </w:r>
      <w:proofErr w:type="spellStart"/>
      <w:r w:rsidR="00634D50" w:rsidRPr="0031693D">
        <w:rPr>
          <w:i/>
          <w:sz w:val="18"/>
          <w:szCs w:val="18"/>
          <w:lang w:val="en-US"/>
        </w:rPr>
        <w:t>của</w:t>
      </w:r>
      <w:proofErr w:type="spellEnd"/>
      <w:r w:rsidR="00634D50" w:rsidRPr="0031693D">
        <w:rPr>
          <w:i/>
          <w:sz w:val="18"/>
          <w:szCs w:val="18"/>
          <w:lang w:val="en-US"/>
        </w:rPr>
        <w:t xml:space="preserve"> </w:t>
      </w:r>
      <w:r w:rsidR="0058358C" w:rsidRPr="0031693D">
        <w:rPr>
          <w:i/>
          <w:sz w:val="18"/>
          <w:szCs w:val="18"/>
          <w:lang w:val="en-US"/>
        </w:rPr>
        <w:t xml:space="preserve">Quy </w:t>
      </w:r>
      <w:proofErr w:type="spellStart"/>
      <w:r w:rsidR="0058358C" w:rsidRPr="0031693D">
        <w:rPr>
          <w:i/>
          <w:sz w:val="18"/>
          <w:szCs w:val="18"/>
          <w:lang w:val="en-US"/>
        </w:rPr>
        <w:t>Chế</w:t>
      </w:r>
      <w:proofErr w:type="spellEnd"/>
      <w:r w:rsidR="00634D50" w:rsidRPr="0031693D">
        <w:rPr>
          <w:i/>
          <w:sz w:val="18"/>
          <w:szCs w:val="18"/>
          <w:lang w:val="en-US"/>
        </w:rPr>
        <w:t xml:space="preserve"> </w:t>
      </w:r>
      <w:proofErr w:type="spellStart"/>
      <w:r w:rsidR="00634D50" w:rsidRPr="0031693D">
        <w:rPr>
          <w:i/>
          <w:sz w:val="18"/>
          <w:szCs w:val="18"/>
          <w:lang w:val="en-US"/>
        </w:rPr>
        <w:t>Quản</w:t>
      </w:r>
      <w:proofErr w:type="spellEnd"/>
      <w:r w:rsidR="00634D50" w:rsidRPr="0031693D">
        <w:rPr>
          <w:i/>
          <w:sz w:val="18"/>
          <w:szCs w:val="18"/>
          <w:lang w:val="en-US"/>
        </w:rPr>
        <w:t xml:space="preserve"> </w:t>
      </w:r>
      <w:proofErr w:type="spellStart"/>
      <w:r w:rsidR="00634D50" w:rsidRPr="0031693D">
        <w:rPr>
          <w:i/>
          <w:sz w:val="18"/>
          <w:szCs w:val="18"/>
          <w:lang w:val="en-US"/>
        </w:rPr>
        <w:t>Lý</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r w:rsidR="0058358C" w:rsidRPr="0031693D">
        <w:rPr>
          <w:i/>
          <w:sz w:val="18"/>
          <w:szCs w:val="18"/>
          <w:lang w:val="en-US"/>
        </w:rPr>
        <w:t xml:space="preserve">ban </w:t>
      </w:r>
      <w:proofErr w:type="spellStart"/>
      <w:r w:rsidR="0058358C" w:rsidRPr="0031693D">
        <w:rPr>
          <w:i/>
          <w:sz w:val="18"/>
          <w:szCs w:val="18"/>
          <w:lang w:val="en-US"/>
        </w:rPr>
        <w:t>hành</w:t>
      </w:r>
      <w:proofErr w:type="spellEnd"/>
      <w:r w:rsidR="00634D50" w:rsidRPr="0031693D">
        <w:rPr>
          <w:i/>
          <w:sz w:val="18"/>
          <w:szCs w:val="18"/>
          <w:lang w:val="en-US"/>
        </w:rPr>
        <w:t xml:space="preserve"> </w:t>
      </w:r>
      <w:proofErr w:type="spellStart"/>
      <w:r w:rsidR="00634D50" w:rsidRPr="0031693D">
        <w:rPr>
          <w:i/>
          <w:sz w:val="18"/>
          <w:szCs w:val="18"/>
          <w:lang w:val="en-US"/>
        </w:rPr>
        <w:t>kèm</w:t>
      </w:r>
      <w:proofErr w:type="spellEnd"/>
      <w:r w:rsidR="00634D50" w:rsidRPr="0031693D">
        <w:rPr>
          <w:i/>
          <w:sz w:val="18"/>
          <w:szCs w:val="18"/>
          <w:lang w:val="en-US"/>
        </w:rPr>
        <w:t xml:space="preserve"> </w:t>
      </w:r>
      <w:proofErr w:type="spellStart"/>
      <w:r w:rsidR="00634D50" w:rsidRPr="0031693D">
        <w:rPr>
          <w:i/>
          <w:sz w:val="18"/>
          <w:szCs w:val="18"/>
          <w:lang w:val="en-US"/>
        </w:rPr>
        <w:t>theo</w:t>
      </w:r>
      <w:proofErr w:type="spellEnd"/>
      <w:r w:rsidR="00634D50" w:rsidRPr="0031693D">
        <w:rPr>
          <w:i/>
          <w:sz w:val="18"/>
          <w:szCs w:val="18"/>
          <w:lang w:val="en-US"/>
        </w:rPr>
        <w:t xml:space="preserve"> </w:t>
      </w:r>
      <w:proofErr w:type="spellStart"/>
      <w:r w:rsidR="00634D50" w:rsidRPr="0031693D">
        <w:rPr>
          <w:i/>
          <w:sz w:val="18"/>
          <w:szCs w:val="18"/>
          <w:lang w:val="en-US"/>
        </w:rPr>
        <w:t>Nghị</w:t>
      </w:r>
      <w:proofErr w:type="spellEnd"/>
      <w:r w:rsidR="0058358C" w:rsidRPr="0031693D">
        <w:rPr>
          <w:i/>
          <w:sz w:val="18"/>
          <w:szCs w:val="18"/>
          <w:lang w:val="en-US"/>
        </w:rPr>
        <w:t xml:space="preserve"> </w:t>
      </w:r>
      <w:proofErr w:type="spellStart"/>
      <w:r w:rsidR="0058358C" w:rsidRPr="0031693D">
        <w:rPr>
          <w:i/>
          <w:sz w:val="18"/>
          <w:szCs w:val="18"/>
          <w:lang w:val="en-US"/>
        </w:rPr>
        <w:t>đ</w:t>
      </w:r>
      <w:r w:rsidR="00634D50" w:rsidRPr="0031693D">
        <w:rPr>
          <w:i/>
          <w:sz w:val="18"/>
          <w:szCs w:val="18"/>
          <w:lang w:val="en-US"/>
        </w:rPr>
        <w:t>ịnh</w:t>
      </w:r>
      <w:proofErr w:type="spellEnd"/>
      <w:r w:rsidR="00762422" w:rsidRPr="0031693D">
        <w:rPr>
          <w:i/>
          <w:sz w:val="18"/>
          <w:szCs w:val="18"/>
          <w:lang w:val="en-US"/>
        </w:rPr>
        <w:t xml:space="preserve"> </w:t>
      </w:r>
      <w:proofErr w:type="spellStart"/>
      <w:r w:rsidR="00762422" w:rsidRPr="0031693D">
        <w:rPr>
          <w:i/>
          <w:sz w:val="18"/>
          <w:szCs w:val="18"/>
          <w:lang w:val="en-US"/>
        </w:rPr>
        <w:t>số</w:t>
      </w:r>
      <w:proofErr w:type="spellEnd"/>
      <w:r w:rsidR="00762422" w:rsidRPr="0031693D">
        <w:rPr>
          <w:i/>
          <w:sz w:val="18"/>
          <w:szCs w:val="18"/>
          <w:lang w:val="en-US"/>
        </w:rPr>
        <w:t xml:space="preserve"> 10/2017/NĐ-CP</w:t>
      </w:r>
      <w:r w:rsidR="00634D50" w:rsidRPr="0031693D">
        <w:rPr>
          <w:i/>
          <w:sz w:val="18"/>
          <w:szCs w:val="18"/>
          <w:lang w:val="en-US"/>
        </w:rPr>
        <w:t xml:space="preserve"> ban </w:t>
      </w:r>
      <w:proofErr w:type="spellStart"/>
      <w:r w:rsidR="00634D50" w:rsidRPr="0031693D">
        <w:rPr>
          <w:i/>
          <w:sz w:val="18"/>
          <w:szCs w:val="18"/>
          <w:lang w:val="en-US"/>
        </w:rPr>
        <w:t>hành</w:t>
      </w:r>
      <w:proofErr w:type="spellEnd"/>
      <w:r w:rsidR="00634D50" w:rsidRPr="0031693D">
        <w:rPr>
          <w:i/>
          <w:sz w:val="18"/>
          <w:szCs w:val="18"/>
          <w:lang w:val="en-US"/>
        </w:rPr>
        <w:t xml:space="preserve"> </w:t>
      </w:r>
      <w:proofErr w:type="spellStart"/>
      <w:r w:rsidR="00762422" w:rsidRPr="0031693D">
        <w:rPr>
          <w:i/>
          <w:sz w:val="18"/>
          <w:szCs w:val="18"/>
          <w:lang w:val="en-US"/>
        </w:rPr>
        <w:t>quy</w:t>
      </w:r>
      <w:proofErr w:type="spellEnd"/>
      <w:r w:rsidR="00762422" w:rsidRPr="0031693D">
        <w:rPr>
          <w:i/>
          <w:sz w:val="18"/>
          <w:szCs w:val="18"/>
          <w:lang w:val="en-US"/>
        </w:rPr>
        <w:t xml:space="preserve"> </w:t>
      </w:r>
      <w:proofErr w:type="spellStart"/>
      <w:r w:rsidR="00762422" w:rsidRPr="0031693D">
        <w:rPr>
          <w:i/>
          <w:sz w:val="18"/>
          <w:szCs w:val="18"/>
          <w:lang w:val="en-US"/>
        </w:rPr>
        <w:t>chế</w:t>
      </w:r>
      <w:proofErr w:type="spellEnd"/>
      <w:r w:rsidR="00634D50" w:rsidRPr="0031693D">
        <w:rPr>
          <w:i/>
          <w:sz w:val="18"/>
          <w:szCs w:val="18"/>
          <w:lang w:val="en-US"/>
        </w:rPr>
        <w:t xml:space="preserve"> </w:t>
      </w:r>
      <w:proofErr w:type="spellStart"/>
      <w:r w:rsidR="00634D50" w:rsidRPr="0031693D">
        <w:rPr>
          <w:i/>
          <w:sz w:val="18"/>
          <w:szCs w:val="18"/>
          <w:lang w:val="en-US"/>
        </w:rPr>
        <w:t>quản</w:t>
      </w:r>
      <w:proofErr w:type="spellEnd"/>
      <w:r w:rsidR="00634D50" w:rsidRPr="0031693D">
        <w:rPr>
          <w:i/>
          <w:sz w:val="18"/>
          <w:szCs w:val="18"/>
          <w:lang w:val="en-US"/>
        </w:rPr>
        <w:t xml:space="preserve"> </w:t>
      </w:r>
      <w:proofErr w:type="spellStart"/>
      <w:r w:rsidR="00634D50" w:rsidRPr="0031693D">
        <w:rPr>
          <w:i/>
          <w:sz w:val="18"/>
          <w:szCs w:val="18"/>
          <w:lang w:val="en-US"/>
        </w:rPr>
        <w:t>lý</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proofErr w:type="spellStart"/>
      <w:r w:rsidR="00634D50" w:rsidRPr="0031693D">
        <w:rPr>
          <w:i/>
          <w:sz w:val="18"/>
          <w:szCs w:val="18"/>
          <w:lang w:val="en-US"/>
        </w:rPr>
        <w:t>của</w:t>
      </w:r>
      <w:proofErr w:type="spellEnd"/>
      <w:r w:rsidR="00634D50" w:rsidRPr="0031693D">
        <w:rPr>
          <w:i/>
          <w:sz w:val="18"/>
          <w:szCs w:val="18"/>
          <w:lang w:val="en-US"/>
        </w:rPr>
        <w:t xml:space="preserve"> </w:t>
      </w:r>
      <w:proofErr w:type="spellStart"/>
      <w:r w:rsidR="00634D50" w:rsidRPr="0031693D">
        <w:rPr>
          <w:i/>
          <w:sz w:val="18"/>
          <w:szCs w:val="18"/>
          <w:lang w:val="en-US"/>
        </w:rPr>
        <w:t>Tập</w:t>
      </w:r>
      <w:proofErr w:type="spellEnd"/>
      <w:r w:rsidR="00634D50" w:rsidRPr="0031693D">
        <w:rPr>
          <w:i/>
          <w:sz w:val="18"/>
          <w:szCs w:val="18"/>
          <w:lang w:val="en-US"/>
        </w:rPr>
        <w:t xml:space="preserve"> </w:t>
      </w:r>
      <w:proofErr w:type="spellStart"/>
      <w:r w:rsidR="00634D50" w:rsidRPr="0031693D">
        <w:rPr>
          <w:i/>
          <w:sz w:val="18"/>
          <w:szCs w:val="18"/>
          <w:lang w:val="en-US"/>
        </w:rPr>
        <w:t>Đoàn</w:t>
      </w:r>
      <w:proofErr w:type="spellEnd"/>
      <w:r w:rsidR="00634D50" w:rsidRPr="0031693D">
        <w:rPr>
          <w:i/>
          <w:sz w:val="18"/>
          <w:szCs w:val="18"/>
          <w:lang w:val="en-US"/>
        </w:rPr>
        <w:t xml:space="preserve"> </w:t>
      </w:r>
      <w:proofErr w:type="spellStart"/>
      <w:r w:rsidR="00634D50" w:rsidRPr="0031693D">
        <w:rPr>
          <w:i/>
          <w:sz w:val="18"/>
          <w:szCs w:val="18"/>
          <w:lang w:val="en-US"/>
        </w:rPr>
        <w:t>Điện</w:t>
      </w:r>
      <w:proofErr w:type="spellEnd"/>
      <w:r w:rsidR="00634D50" w:rsidRPr="0031693D">
        <w:rPr>
          <w:i/>
          <w:sz w:val="18"/>
          <w:szCs w:val="18"/>
          <w:lang w:val="en-US"/>
        </w:rPr>
        <w:t xml:space="preserve"> </w:t>
      </w:r>
      <w:proofErr w:type="spellStart"/>
      <w:r w:rsidR="00634D50" w:rsidRPr="0031693D">
        <w:rPr>
          <w:i/>
          <w:sz w:val="18"/>
          <w:szCs w:val="18"/>
          <w:lang w:val="en-US"/>
        </w:rPr>
        <w:t>Lực</w:t>
      </w:r>
      <w:proofErr w:type="spellEnd"/>
      <w:r w:rsidR="00634D50" w:rsidRPr="0031693D">
        <w:rPr>
          <w:i/>
          <w:sz w:val="18"/>
          <w:szCs w:val="18"/>
          <w:lang w:val="en-US"/>
        </w:rPr>
        <w:t xml:space="preserve"> Việt Nam </w:t>
      </w:r>
      <w:proofErr w:type="spellStart"/>
      <w:r w:rsidR="00634D50" w:rsidRPr="0031693D">
        <w:rPr>
          <w:i/>
          <w:sz w:val="18"/>
          <w:szCs w:val="18"/>
          <w:lang w:val="en-US"/>
        </w:rPr>
        <w:t>và</w:t>
      </w:r>
      <w:proofErr w:type="spellEnd"/>
      <w:r w:rsidR="00634D50" w:rsidRPr="0031693D">
        <w:rPr>
          <w:i/>
          <w:sz w:val="18"/>
          <w:szCs w:val="18"/>
          <w:lang w:val="en-US"/>
        </w:rPr>
        <w:t xml:space="preserve"> </w:t>
      </w:r>
      <w:proofErr w:type="spellStart"/>
      <w:r w:rsidR="00634D50" w:rsidRPr="0031693D">
        <w:rPr>
          <w:i/>
          <w:sz w:val="18"/>
          <w:szCs w:val="18"/>
          <w:lang w:val="en-US"/>
        </w:rPr>
        <w:t>sửa</w:t>
      </w:r>
      <w:proofErr w:type="spellEnd"/>
      <w:r w:rsidR="00634D50" w:rsidRPr="0031693D">
        <w:rPr>
          <w:i/>
          <w:sz w:val="18"/>
          <w:szCs w:val="18"/>
          <w:lang w:val="en-US"/>
        </w:rPr>
        <w:t xml:space="preserve"> </w:t>
      </w:r>
      <w:proofErr w:type="spellStart"/>
      <w:r w:rsidR="00634D50" w:rsidRPr="0031693D">
        <w:rPr>
          <w:i/>
          <w:sz w:val="18"/>
          <w:szCs w:val="18"/>
          <w:lang w:val="en-US"/>
        </w:rPr>
        <w:t>đổi</w:t>
      </w:r>
      <w:proofErr w:type="spellEnd"/>
      <w:r w:rsidR="00634D50" w:rsidRPr="0031693D">
        <w:rPr>
          <w:i/>
          <w:sz w:val="18"/>
          <w:szCs w:val="18"/>
          <w:lang w:val="en-US"/>
        </w:rPr>
        <w:t xml:space="preserve">, </w:t>
      </w:r>
      <w:proofErr w:type="spellStart"/>
      <w:r w:rsidR="00634D50" w:rsidRPr="0031693D">
        <w:rPr>
          <w:i/>
          <w:sz w:val="18"/>
          <w:szCs w:val="18"/>
          <w:lang w:val="en-US"/>
        </w:rPr>
        <w:t>bổ</w:t>
      </w:r>
      <w:proofErr w:type="spellEnd"/>
      <w:r w:rsidR="00634D50" w:rsidRPr="0031693D">
        <w:rPr>
          <w:i/>
          <w:sz w:val="18"/>
          <w:szCs w:val="18"/>
          <w:lang w:val="en-US"/>
        </w:rPr>
        <w:t xml:space="preserve"> sung</w:t>
      </w:r>
      <w:r w:rsidR="00762422" w:rsidRPr="0031693D">
        <w:rPr>
          <w:i/>
          <w:sz w:val="18"/>
          <w:szCs w:val="18"/>
          <w:lang w:val="en-US"/>
        </w:rPr>
        <w:t xml:space="preserve"> </w:t>
      </w:r>
      <w:proofErr w:type="spellStart"/>
      <w:r w:rsidR="00762422" w:rsidRPr="0031693D">
        <w:rPr>
          <w:i/>
          <w:sz w:val="18"/>
          <w:szCs w:val="18"/>
          <w:lang w:val="en-US"/>
        </w:rPr>
        <w:t>khoản</w:t>
      </w:r>
      <w:proofErr w:type="spellEnd"/>
      <w:r w:rsidR="00762422" w:rsidRPr="0031693D">
        <w:rPr>
          <w:i/>
          <w:sz w:val="18"/>
          <w:szCs w:val="18"/>
          <w:lang w:val="en-US"/>
        </w:rPr>
        <w:t xml:space="preserve"> 4</w:t>
      </w:r>
      <w:r w:rsidR="00634D50" w:rsidRPr="0031693D">
        <w:rPr>
          <w:i/>
          <w:sz w:val="18"/>
          <w:szCs w:val="18"/>
          <w:lang w:val="en-US"/>
        </w:rPr>
        <w:t xml:space="preserve"> </w:t>
      </w:r>
      <w:proofErr w:type="spellStart"/>
      <w:r w:rsidR="00634D50" w:rsidRPr="0031693D">
        <w:rPr>
          <w:i/>
          <w:sz w:val="18"/>
          <w:szCs w:val="18"/>
          <w:lang w:val="en-US"/>
        </w:rPr>
        <w:t>Điều</w:t>
      </w:r>
      <w:proofErr w:type="spellEnd"/>
      <w:r w:rsidR="00634D50" w:rsidRPr="0031693D">
        <w:rPr>
          <w:i/>
          <w:sz w:val="18"/>
          <w:szCs w:val="18"/>
          <w:lang w:val="en-US"/>
        </w:rPr>
        <w:t xml:space="preserve"> </w:t>
      </w:r>
      <w:r w:rsidR="00762422" w:rsidRPr="0031693D">
        <w:rPr>
          <w:i/>
          <w:sz w:val="18"/>
          <w:szCs w:val="18"/>
          <w:lang w:val="en-US"/>
        </w:rPr>
        <w:t>4</w:t>
      </w:r>
      <w:r w:rsidR="00634D50" w:rsidRPr="0031693D">
        <w:rPr>
          <w:i/>
          <w:sz w:val="18"/>
          <w:szCs w:val="18"/>
          <w:lang w:val="en-US"/>
        </w:rPr>
        <w:t xml:space="preserve"> </w:t>
      </w:r>
      <w:proofErr w:type="spellStart"/>
      <w:r w:rsidR="00634D50" w:rsidRPr="0031693D">
        <w:rPr>
          <w:i/>
          <w:sz w:val="18"/>
          <w:szCs w:val="18"/>
          <w:lang w:val="en-US"/>
        </w:rPr>
        <w:t>Nghị</w:t>
      </w:r>
      <w:proofErr w:type="spellEnd"/>
      <w:r w:rsidR="00762422" w:rsidRPr="0031693D">
        <w:rPr>
          <w:i/>
          <w:sz w:val="18"/>
          <w:szCs w:val="18"/>
          <w:lang w:val="en-US"/>
        </w:rPr>
        <w:t xml:space="preserve"> </w:t>
      </w:r>
      <w:proofErr w:type="spellStart"/>
      <w:r w:rsidR="00762422" w:rsidRPr="0031693D">
        <w:rPr>
          <w:i/>
          <w:sz w:val="18"/>
          <w:szCs w:val="18"/>
          <w:lang w:val="en-US"/>
        </w:rPr>
        <w:t>đ</w:t>
      </w:r>
      <w:r w:rsidR="00634D50" w:rsidRPr="0031693D">
        <w:rPr>
          <w:i/>
          <w:sz w:val="18"/>
          <w:szCs w:val="18"/>
          <w:lang w:val="en-US"/>
        </w:rPr>
        <w:t>ịnh</w:t>
      </w:r>
      <w:proofErr w:type="spellEnd"/>
      <w:r w:rsidR="00634D50" w:rsidRPr="0031693D">
        <w:rPr>
          <w:i/>
          <w:sz w:val="18"/>
          <w:szCs w:val="18"/>
          <w:lang w:val="en-US"/>
        </w:rPr>
        <w:t xml:space="preserve"> </w:t>
      </w:r>
      <w:proofErr w:type="spellStart"/>
      <w:r w:rsidR="00634D50" w:rsidRPr="0031693D">
        <w:rPr>
          <w:i/>
          <w:sz w:val="18"/>
          <w:szCs w:val="18"/>
          <w:lang w:val="en-US"/>
        </w:rPr>
        <w:t>số</w:t>
      </w:r>
      <w:proofErr w:type="spellEnd"/>
      <w:r w:rsidR="00634D50" w:rsidRPr="0031693D">
        <w:rPr>
          <w:i/>
          <w:sz w:val="18"/>
          <w:szCs w:val="18"/>
          <w:lang w:val="en-US"/>
        </w:rPr>
        <w:t xml:space="preserve"> </w:t>
      </w:r>
      <w:r w:rsidRPr="0031693D">
        <w:rPr>
          <w:i/>
          <w:sz w:val="18"/>
          <w:szCs w:val="18"/>
          <w:lang w:val="en-US"/>
        </w:rPr>
        <w:t>209/2013/N</w:t>
      </w:r>
      <w:r w:rsidR="00634D50" w:rsidRPr="0031693D">
        <w:rPr>
          <w:i/>
          <w:sz w:val="18"/>
          <w:szCs w:val="18"/>
          <w:lang w:val="en-US"/>
        </w:rPr>
        <w:t>Đ</w:t>
      </w:r>
      <w:r w:rsidRPr="0031693D">
        <w:rPr>
          <w:i/>
          <w:sz w:val="18"/>
          <w:szCs w:val="18"/>
          <w:lang w:val="en-US"/>
        </w:rPr>
        <w:t xml:space="preserve">-CP </w:t>
      </w:r>
      <w:proofErr w:type="spellStart"/>
      <w:r w:rsidR="00634D50" w:rsidRPr="0031693D">
        <w:rPr>
          <w:i/>
          <w:sz w:val="18"/>
          <w:szCs w:val="18"/>
          <w:lang w:val="en-US"/>
        </w:rPr>
        <w:t>ngày</w:t>
      </w:r>
      <w:proofErr w:type="spellEnd"/>
      <w:r w:rsidR="00634D50" w:rsidRPr="0031693D">
        <w:rPr>
          <w:i/>
          <w:sz w:val="18"/>
          <w:szCs w:val="18"/>
          <w:lang w:val="en-US"/>
        </w:rPr>
        <w:t xml:space="preserve"> </w:t>
      </w:r>
      <w:r w:rsidR="00762422" w:rsidRPr="0031693D">
        <w:rPr>
          <w:i/>
          <w:sz w:val="18"/>
          <w:szCs w:val="18"/>
          <w:lang w:val="en-US"/>
        </w:rPr>
        <w:t>9</w:t>
      </w:r>
      <w:r w:rsidRPr="0031693D">
        <w:rPr>
          <w:i/>
          <w:sz w:val="18"/>
          <w:szCs w:val="18"/>
          <w:lang w:val="en-US"/>
        </w:rPr>
        <w:t xml:space="preserve"> </w:t>
      </w:r>
      <w:proofErr w:type="spellStart"/>
      <w:r w:rsidR="00762422" w:rsidRPr="0031693D">
        <w:rPr>
          <w:i/>
          <w:sz w:val="18"/>
          <w:szCs w:val="18"/>
          <w:lang w:val="en-US"/>
        </w:rPr>
        <w:t>tháng</w:t>
      </w:r>
      <w:proofErr w:type="spellEnd"/>
      <w:r w:rsidR="00762422" w:rsidRPr="0031693D">
        <w:rPr>
          <w:i/>
          <w:sz w:val="18"/>
          <w:szCs w:val="18"/>
          <w:lang w:val="en-US"/>
        </w:rPr>
        <w:t xml:space="preserve"> 2</w:t>
      </w:r>
      <w:r w:rsidR="00634D50" w:rsidRPr="0031693D">
        <w:rPr>
          <w:i/>
          <w:sz w:val="18"/>
          <w:szCs w:val="18"/>
          <w:lang w:val="en-US"/>
        </w:rPr>
        <w:t xml:space="preserve"> </w:t>
      </w:r>
      <w:proofErr w:type="spellStart"/>
      <w:r w:rsidR="00634D50" w:rsidRPr="0031693D">
        <w:rPr>
          <w:i/>
          <w:sz w:val="18"/>
          <w:szCs w:val="18"/>
          <w:lang w:val="en-US"/>
        </w:rPr>
        <w:t>năm</w:t>
      </w:r>
      <w:proofErr w:type="spellEnd"/>
      <w:r w:rsidR="00634D50" w:rsidRPr="0031693D">
        <w:rPr>
          <w:i/>
          <w:sz w:val="18"/>
          <w:szCs w:val="18"/>
          <w:lang w:val="en-US"/>
        </w:rPr>
        <w:t xml:space="preserve"> </w:t>
      </w:r>
      <w:r w:rsidR="00762422" w:rsidRPr="0031693D">
        <w:rPr>
          <w:i/>
          <w:sz w:val="18"/>
          <w:szCs w:val="18"/>
          <w:lang w:val="en-US"/>
        </w:rPr>
        <w:t>2017</w:t>
      </w:r>
      <w:r w:rsidRPr="0031693D">
        <w:rPr>
          <w:i/>
          <w:sz w:val="18"/>
          <w:szCs w:val="18"/>
          <w:lang w:val="en-US"/>
        </w:rPr>
        <w:t xml:space="preserve"> </w:t>
      </w:r>
      <w:proofErr w:type="spellStart"/>
      <w:r w:rsidR="00634D50" w:rsidRPr="0031693D">
        <w:rPr>
          <w:i/>
          <w:sz w:val="18"/>
          <w:szCs w:val="18"/>
          <w:lang w:val="en-US"/>
        </w:rPr>
        <w:t>của</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proofErr w:type="spellStart"/>
      <w:r w:rsidR="00634D50" w:rsidRPr="0031693D">
        <w:rPr>
          <w:i/>
          <w:sz w:val="18"/>
          <w:szCs w:val="18"/>
          <w:lang w:val="en-US"/>
        </w:rPr>
        <w:t>Phủ</w:t>
      </w:r>
      <w:proofErr w:type="spellEnd"/>
      <w:r w:rsidR="00634D50" w:rsidRPr="0031693D">
        <w:rPr>
          <w:i/>
          <w:sz w:val="18"/>
          <w:szCs w:val="18"/>
          <w:lang w:val="en-US"/>
        </w:rPr>
        <w:t xml:space="preserve"> </w:t>
      </w:r>
    </w:p>
  </w:footnote>
  <w:footnote w:id="7">
    <w:p w:rsidR="00E41450" w:rsidRPr="0031693D" w:rsidRDefault="00E41450" w:rsidP="0031693D">
      <w:pPr>
        <w:pStyle w:val="FootnoteText"/>
        <w:ind w:left="360" w:hanging="360"/>
        <w:rPr>
          <w:i/>
          <w:sz w:val="18"/>
          <w:szCs w:val="18"/>
          <w:lang w:val="en-US"/>
        </w:rPr>
      </w:pPr>
      <w:r w:rsidRPr="0031693D">
        <w:rPr>
          <w:rStyle w:val="FootnoteReference"/>
          <w:i/>
          <w:sz w:val="18"/>
          <w:szCs w:val="18"/>
        </w:rPr>
        <w:footnoteRef/>
      </w:r>
      <w:r w:rsidRPr="0031693D">
        <w:rPr>
          <w:i/>
          <w:sz w:val="18"/>
          <w:szCs w:val="18"/>
        </w:rPr>
        <w:t xml:space="preserve"> </w:t>
      </w:r>
      <w:r w:rsidRPr="0031693D">
        <w:rPr>
          <w:i/>
          <w:sz w:val="18"/>
          <w:szCs w:val="18"/>
          <w:lang w:val="en-US"/>
        </w:rPr>
        <w:tab/>
      </w:r>
      <w:proofErr w:type="spellStart"/>
      <w:r w:rsidR="00634D50" w:rsidRPr="0031693D">
        <w:rPr>
          <w:i/>
          <w:sz w:val="18"/>
          <w:szCs w:val="18"/>
          <w:lang w:val="en-US"/>
        </w:rPr>
        <w:t>Điều</w:t>
      </w:r>
      <w:proofErr w:type="spellEnd"/>
      <w:r w:rsidR="00634D50" w:rsidRPr="0031693D">
        <w:rPr>
          <w:i/>
          <w:sz w:val="18"/>
          <w:szCs w:val="18"/>
          <w:lang w:val="en-US"/>
        </w:rPr>
        <w:t xml:space="preserve"> </w:t>
      </w:r>
      <w:r w:rsidRPr="0031693D">
        <w:rPr>
          <w:i/>
          <w:sz w:val="18"/>
          <w:szCs w:val="18"/>
          <w:lang w:val="en-US"/>
        </w:rPr>
        <w:t xml:space="preserve">6 </w:t>
      </w:r>
      <w:proofErr w:type="spellStart"/>
      <w:r w:rsidR="00634D50" w:rsidRPr="0031693D">
        <w:rPr>
          <w:i/>
          <w:sz w:val="18"/>
          <w:szCs w:val="18"/>
          <w:lang w:val="en-US"/>
        </w:rPr>
        <w:t>của</w:t>
      </w:r>
      <w:proofErr w:type="spellEnd"/>
      <w:r w:rsidR="00634D50" w:rsidRPr="0031693D">
        <w:rPr>
          <w:i/>
          <w:sz w:val="18"/>
          <w:szCs w:val="18"/>
          <w:lang w:val="en-US"/>
        </w:rPr>
        <w:t xml:space="preserve"> </w:t>
      </w:r>
      <w:r w:rsidR="0058358C" w:rsidRPr="0031693D">
        <w:rPr>
          <w:i/>
          <w:sz w:val="18"/>
          <w:szCs w:val="18"/>
          <w:lang w:val="en-US"/>
        </w:rPr>
        <w:t xml:space="preserve">Quy </w:t>
      </w:r>
      <w:proofErr w:type="spellStart"/>
      <w:r w:rsidR="0058358C" w:rsidRPr="0031693D">
        <w:rPr>
          <w:i/>
          <w:sz w:val="18"/>
          <w:szCs w:val="18"/>
          <w:lang w:val="en-US"/>
        </w:rPr>
        <w:t>Chế</w:t>
      </w:r>
      <w:proofErr w:type="spellEnd"/>
      <w:r w:rsidR="00634D50" w:rsidRPr="0031693D">
        <w:rPr>
          <w:i/>
          <w:sz w:val="18"/>
          <w:szCs w:val="18"/>
          <w:lang w:val="en-US"/>
        </w:rPr>
        <w:t xml:space="preserve"> </w:t>
      </w:r>
      <w:proofErr w:type="spellStart"/>
      <w:r w:rsidR="00634D50" w:rsidRPr="0031693D">
        <w:rPr>
          <w:i/>
          <w:sz w:val="18"/>
          <w:szCs w:val="18"/>
          <w:lang w:val="en-US"/>
        </w:rPr>
        <w:t>Quản</w:t>
      </w:r>
      <w:proofErr w:type="spellEnd"/>
      <w:r w:rsidR="00634D50" w:rsidRPr="0031693D">
        <w:rPr>
          <w:i/>
          <w:sz w:val="18"/>
          <w:szCs w:val="18"/>
          <w:lang w:val="en-US"/>
        </w:rPr>
        <w:t xml:space="preserve"> </w:t>
      </w:r>
      <w:proofErr w:type="spellStart"/>
      <w:r w:rsidR="00634D50" w:rsidRPr="0031693D">
        <w:rPr>
          <w:i/>
          <w:sz w:val="18"/>
          <w:szCs w:val="18"/>
          <w:lang w:val="en-US"/>
        </w:rPr>
        <w:t>Lý</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proofErr w:type="spellStart"/>
      <w:r w:rsidR="00634D50" w:rsidRPr="0031693D">
        <w:rPr>
          <w:i/>
          <w:sz w:val="18"/>
          <w:szCs w:val="18"/>
          <w:lang w:val="en-US"/>
        </w:rPr>
        <w:t>kèm</w:t>
      </w:r>
      <w:proofErr w:type="spellEnd"/>
      <w:r w:rsidR="00634D50" w:rsidRPr="0031693D">
        <w:rPr>
          <w:i/>
          <w:sz w:val="18"/>
          <w:szCs w:val="18"/>
          <w:lang w:val="en-US"/>
        </w:rPr>
        <w:t xml:space="preserve"> </w:t>
      </w:r>
      <w:proofErr w:type="spellStart"/>
      <w:r w:rsidR="00634D50" w:rsidRPr="0031693D">
        <w:rPr>
          <w:i/>
          <w:sz w:val="18"/>
          <w:szCs w:val="18"/>
          <w:lang w:val="en-US"/>
        </w:rPr>
        <w:t>theo</w:t>
      </w:r>
      <w:proofErr w:type="spellEnd"/>
      <w:r w:rsidR="00634D50" w:rsidRPr="0031693D">
        <w:rPr>
          <w:i/>
          <w:sz w:val="18"/>
          <w:szCs w:val="18"/>
          <w:lang w:val="en-US"/>
        </w:rPr>
        <w:t xml:space="preserve"> </w:t>
      </w:r>
      <w:proofErr w:type="spellStart"/>
      <w:r w:rsidR="00634D50" w:rsidRPr="0031693D">
        <w:rPr>
          <w:i/>
          <w:sz w:val="18"/>
          <w:szCs w:val="18"/>
          <w:lang w:val="en-US"/>
        </w:rPr>
        <w:t>Nghị</w:t>
      </w:r>
      <w:proofErr w:type="spellEnd"/>
      <w:r w:rsidR="00634D50" w:rsidRPr="0031693D">
        <w:rPr>
          <w:i/>
          <w:sz w:val="18"/>
          <w:szCs w:val="18"/>
          <w:lang w:val="en-US"/>
        </w:rPr>
        <w:t xml:space="preserve"> </w:t>
      </w:r>
      <w:proofErr w:type="spellStart"/>
      <w:r w:rsidR="00634D50" w:rsidRPr="0031693D">
        <w:rPr>
          <w:i/>
          <w:sz w:val="18"/>
          <w:szCs w:val="18"/>
          <w:lang w:val="en-US"/>
        </w:rPr>
        <w:t>Định</w:t>
      </w:r>
      <w:proofErr w:type="spellEnd"/>
      <w:r w:rsidR="00634D50" w:rsidRPr="0031693D">
        <w:rPr>
          <w:i/>
          <w:sz w:val="18"/>
          <w:szCs w:val="18"/>
          <w:lang w:val="en-US"/>
        </w:rPr>
        <w:t xml:space="preserve"> </w:t>
      </w:r>
      <w:proofErr w:type="spellStart"/>
      <w:r w:rsidR="00634D50" w:rsidRPr="0031693D">
        <w:rPr>
          <w:i/>
          <w:sz w:val="18"/>
          <w:szCs w:val="18"/>
          <w:lang w:val="en-US"/>
        </w:rPr>
        <w:t>số</w:t>
      </w:r>
      <w:proofErr w:type="spellEnd"/>
      <w:r w:rsidR="00634D50" w:rsidRPr="0031693D">
        <w:rPr>
          <w:i/>
          <w:sz w:val="18"/>
          <w:szCs w:val="18"/>
          <w:lang w:val="en-US"/>
        </w:rPr>
        <w:t xml:space="preserve"> </w:t>
      </w:r>
      <w:r w:rsidRPr="0031693D">
        <w:rPr>
          <w:i/>
          <w:sz w:val="18"/>
          <w:szCs w:val="18"/>
          <w:lang w:val="en-US"/>
        </w:rPr>
        <w:t>06/2015/N</w:t>
      </w:r>
      <w:r w:rsidR="00634D50" w:rsidRPr="0031693D">
        <w:rPr>
          <w:i/>
          <w:sz w:val="18"/>
          <w:szCs w:val="18"/>
          <w:lang w:val="en-US"/>
        </w:rPr>
        <w:t>Đ</w:t>
      </w:r>
      <w:r w:rsidRPr="0031693D">
        <w:rPr>
          <w:i/>
          <w:sz w:val="18"/>
          <w:szCs w:val="18"/>
          <w:lang w:val="en-US"/>
        </w:rPr>
        <w:t xml:space="preserve">-CP </w:t>
      </w:r>
      <w:r w:rsidR="00634D50" w:rsidRPr="0031693D">
        <w:rPr>
          <w:i/>
          <w:sz w:val="18"/>
          <w:szCs w:val="18"/>
          <w:lang w:val="en-US"/>
        </w:rPr>
        <w:t xml:space="preserve">ban </w:t>
      </w:r>
      <w:proofErr w:type="spellStart"/>
      <w:r w:rsidR="00634D50" w:rsidRPr="0031693D">
        <w:rPr>
          <w:i/>
          <w:sz w:val="18"/>
          <w:szCs w:val="18"/>
          <w:lang w:val="en-US"/>
        </w:rPr>
        <w:t>hành</w:t>
      </w:r>
      <w:proofErr w:type="spellEnd"/>
      <w:r w:rsidR="00634D50" w:rsidRPr="0031693D">
        <w:rPr>
          <w:i/>
          <w:sz w:val="18"/>
          <w:szCs w:val="18"/>
          <w:lang w:val="en-US"/>
        </w:rPr>
        <w:t xml:space="preserve"> </w:t>
      </w:r>
      <w:proofErr w:type="spellStart"/>
      <w:r w:rsidR="00762422" w:rsidRPr="0031693D">
        <w:rPr>
          <w:i/>
          <w:sz w:val="18"/>
          <w:szCs w:val="18"/>
          <w:lang w:val="en-US"/>
        </w:rPr>
        <w:t>quy</w:t>
      </w:r>
      <w:proofErr w:type="spellEnd"/>
      <w:r w:rsidR="00762422" w:rsidRPr="0031693D">
        <w:rPr>
          <w:i/>
          <w:sz w:val="18"/>
          <w:szCs w:val="18"/>
          <w:lang w:val="en-US"/>
        </w:rPr>
        <w:t xml:space="preserve"> </w:t>
      </w:r>
      <w:proofErr w:type="spellStart"/>
      <w:r w:rsidR="00762422" w:rsidRPr="0031693D">
        <w:rPr>
          <w:i/>
          <w:sz w:val="18"/>
          <w:szCs w:val="18"/>
          <w:lang w:val="en-US"/>
        </w:rPr>
        <w:t>chế</w:t>
      </w:r>
      <w:proofErr w:type="spellEnd"/>
      <w:r w:rsidR="00634D50" w:rsidRPr="0031693D">
        <w:rPr>
          <w:i/>
          <w:sz w:val="18"/>
          <w:szCs w:val="18"/>
          <w:lang w:val="en-US"/>
        </w:rPr>
        <w:t xml:space="preserve"> </w:t>
      </w:r>
      <w:proofErr w:type="spellStart"/>
      <w:r w:rsidR="00634D50" w:rsidRPr="0031693D">
        <w:rPr>
          <w:i/>
          <w:sz w:val="18"/>
          <w:szCs w:val="18"/>
          <w:lang w:val="en-US"/>
        </w:rPr>
        <w:t>quản</w:t>
      </w:r>
      <w:proofErr w:type="spellEnd"/>
      <w:r w:rsidR="00634D50" w:rsidRPr="0031693D">
        <w:rPr>
          <w:i/>
          <w:sz w:val="18"/>
          <w:szCs w:val="18"/>
          <w:lang w:val="en-US"/>
        </w:rPr>
        <w:t xml:space="preserve"> </w:t>
      </w:r>
      <w:proofErr w:type="spellStart"/>
      <w:r w:rsidR="00634D50" w:rsidRPr="0031693D">
        <w:rPr>
          <w:i/>
          <w:sz w:val="18"/>
          <w:szCs w:val="18"/>
          <w:lang w:val="en-US"/>
        </w:rPr>
        <w:t>lý</w:t>
      </w:r>
      <w:proofErr w:type="spellEnd"/>
      <w:r w:rsidR="00634D50" w:rsidRPr="0031693D">
        <w:rPr>
          <w:i/>
          <w:sz w:val="18"/>
          <w:szCs w:val="18"/>
          <w:lang w:val="en-US"/>
        </w:rPr>
        <w:t xml:space="preserve"> </w:t>
      </w:r>
      <w:proofErr w:type="spellStart"/>
      <w:r w:rsidR="00634D50" w:rsidRPr="0031693D">
        <w:rPr>
          <w:i/>
          <w:sz w:val="18"/>
          <w:szCs w:val="18"/>
          <w:lang w:val="en-US"/>
        </w:rPr>
        <w:t>tài</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proofErr w:type="spellStart"/>
      <w:r w:rsidR="00634D50" w:rsidRPr="0031693D">
        <w:rPr>
          <w:i/>
          <w:sz w:val="18"/>
          <w:szCs w:val="18"/>
          <w:lang w:val="en-US"/>
        </w:rPr>
        <w:t>củ</w:t>
      </w:r>
      <w:r w:rsidR="00762422" w:rsidRPr="0031693D">
        <w:rPr>
          <w:i/>
          <w:sz w:val="18"/>
          <w:szCs w:val="18"/>
          <w:lang w:val="en-US"/>
        </w:rPr>
        <w:t>a</w:t>
      </w:r>
      <w:proofErr w:type="spellEnd"/>
      <w:r w:rsidR="00762422" w:rsidRPr="0031693D">
        <w:rPr>
          <w:i/>
          <w:sz w:val="18"/>
          <w:szCs w:val="18"/>
          <w:lang w:val="en-US"/>
        </w:rPr>
        <w:t xml:space="preserve"> </w:t>
      </w:r>
      <w:proofErr w:type="spellStart"/>
      <w:r w:rsidR="00762422" w:rsidRPr="0031693D">
        <w:rPr>
          <w:i/>
          <w:sz w:val="18"/>
          <w:szCs w:val="18"/>
          <w:lang w:val="en-US"/>
        </w:rPr>
        <w:t>C</w:t>
      </w:r>
      <w:r w:rsidR="00634D50" w:rsidRPr="0031693D">
        <w:rPr>
          <w:i/>
          <w:sz w:val="18"/>
          <w:szCs w:val="18"/>
          <w:lang w:val="en-US"/>
        </w:rPr>
        <w:t>ông</w:t>
      </w:r>
      <w:proofErr w:type="spellEnd"/>
      <w:r w:rsidR="00634D50" w:rsidRPr="0031693D">
        <w:rPr>
          <w:i/>
          <w:sz w:val="18"/>
          <w:szCs w:val="18"/>
          <w:lang w:val="en-US"/>
        </w:rPr>
        <w:t xml:space="preserve"> </w:t>
      </w:r>
      <w:proofErr w:type="spellStart"/>
      <w:r w:rsidR="00634D50" w:rsidRPr="0031693D">
        <w:rPr>
          <w:i/>
          <w:sz w:val="18"/>
          <w:szCs w:val="18"/>
          <w:lang w:val="en-US"/>
        </w:rPr>
        <w:t>ty</w:t>
      </w:r>
      <w:proofErr w:type="spellEnd"/>
      <w:r w:rsidR="00634D50" w:rsidRPr="0031693D">
        <w:rPr>
          <w:i/>
          <w:sz w:val="18"/>
          <w:szCs w:val="18"/>
          <w:lang w:val="en-US"/>
        </w:rPr>
        <w:t xml:space="preserve"> </w:t>
      </w:r>
      <w:proofErr w:type="spellStart"/>
      <w:r w:rsidR="00634D50" w:rsidRPr="0031693D">
        <w:rPr>
          <w:i/>
          <w:sz w:val="18"/>
          <w:szCs w:val="18"/>
          <w:lang w:val="en-US"/>
        </w:rPr>
        <w:t>mẹ</w:t>
      </w:r>
      <w:proofErr w:type="spellEnd"/>
      <w:r w:rsidR="00634D50" w:rsidRPr="0031693D">
        <w:rPr>
          <w:i/>
          <w:sz w:val="18"/>
          <w:szCs w:val="18"/>
          <w:lang w:val="en-US"/>
        </w:rPr>
        <w:t xml:space="preserve"> </w:t>
      </w:r>
      <w:r w:rsidR="00762422" w:rsidRPr="0031693D">
        <w:rPr>
          <w:i/>
          <w:sz w:val="18"/>
          <w:szCs w:val="18"/>
          <w:lang w:val="en-US"/>
        </w:rPr>
        <w:t>-</w:t>
      </w:r>
      <w:r w:rsidR="00634D50" w:rsidRPr="0031693D">
        <w:rPr>
          <w:i/>
          <w:sz w:val="18"/>
          <w:szCs w:val="18"/>
          <w:lang w:val="en-US"/>
        </w:rPr>
        <w:t xml:space="preserve"> </w:t>
      </w:r>
      <w:proofErr w:type="spellStart"/>
      <w:r w:rsidR="00634D50" w:rsidRPr="0031693D">
        <w:rPr>
          <w:i/>
          <w:sz w:val="18"/>
          <w:szCs w:val="18"/>
          <w:lang w:val="en-US"/>
        </w:rPr>
        <w:t>Tậ</w:t>
      </w:r>
      <w:r w:rsidR="00762422" w:rsidRPr="0031693D">
        <w:rPr>
          <w:i/>
          <w:sz w:val="18"/>
          <w:szCs w:val="18"/>
          <w:lang w:val="en-US"/>
        </w:rPr>
        <w:t>p</w:t>
      </w:r>
      <w:proofErr w:type="spellEnd"/>
      <w:r w:rsidR="00762422" w:rsidRPr="0031693D">
        <w:rPr>
          <w:i/>
          <w:sz w:val="18"/>
          <w:szCs w:val="18"/>
          <w:lang w:val="en-US"/>
        </w:rPr>
        <w:t xml:space="preserve"> </w:t>
      </w:r>
      <w:proofErr w:type="spellStart"/>
      <w:r w:rsidR="00762422" w:rsidRPr="0031693D">
        <w:rPr>
          <w:i/>
          <w:sz w:val="18"/>
          <w:szCs w:val="18"/>
          <w:lang w:val="en-US"/>
        </w:rPr>
        <w:t>đ</w:t>
      </w:r>
      <w:r w:rsidR="00634D50" w:rsidRPr="0031693D">
        <w:rPr>
          <w:i/>
          <w:sz w:val="18"/>
          <w:szCs w:val="18"/>
          <w:lang w:val="en-US"/>
        </w:rPr>
        <w:t>oàn</w:t>
      </w:r>
      <w:proofErr w:type="spellEnd"/>
      <w:r w:rsidR="00634D50" w:rsidRPr="0031693D">
        <w:rPr>
          <w:i/>
          <w:sz w:val="18"/>
          <w:szCs w:val="18"/>
          <w:lang w:val="en-US"/>
        </w:rPr>
        <w:t xml:space="preserve"> </w:t>
      </w:r>
      <w:proofErr w:type="spellStart"/>
      <w:r w:rsidR="00634D50" w:rsidRPr="0031693D">
        <w:rPr>
          <w:i/>
          <w:sz w:val="18"/>
          <w:szCs w:val="18"/>
          <w:lang w:val="en-US"/>
        </w:rPr>
        <w:t>Dầ</w:t>
      </w:r>
      <w:r w:rsidR="00762422" w:rsidRPr="0031693D">
        <w:rPr>
          <w:i/>
          <w:sz w:val="18"/>
          <w:szCs w:val="18"/>
          <w:lang w:val="en-US"/>
        </w:rPr>
        <w:t>u</w:t>
      </w:r>
      <w:proofErr w:type="spellEnd"/>
      <w:r w:rsidR="00762422" w:rsidRPr="0031693D">
        <w:rPr>
          <w:i/>
          <w:sz w:val="18"/>
          <w:szCs w:val="18"/>
          <w:lang w:val="en-US"/>
        </w:rPr>
        <w:t xml:space="preserve"> </w:t>
      </w:r>
      <w:proofErr w:type="spellStart"/>
      <w:r w:rsidR="00762422" w:rsidRPr="0031693D">
        <w:rPr>
          <w:i/>
          <w:sz w:val="18"/>
          <w:szCs w:val="18"/>
          <w:lang w:val="en-US"/>
        </w:rPr>
        <w:t>k</w:t>
      </w:r>
      <w:r w:rsidR="00634D50" w:rsidRPr="0031693D">
        <w:rPr>
          <w:i/>
          <w:sz w:val="18"/>
          <w:szCs w:val="18"/>
          <w:lang w:val="en-US"/>
        </w:rPr>
        <w:t>hí</w:t>
      </w:r>
      <w:proofErr w:type="spellEnd"/>
      <w:r w:rsidR="00634D50" w:rsidRPr="0031693D">
        <w:rPr>
          <w:i/>
          <w:sz w:val="18"/>
          <w:szCs w:val="18"/>
          <w:lang w:val="en-US"/>
        </w:rPr>
        <w:t xml:space="preserve"> Việt Nam </w:t>
      </w:r>
      <w:proofErr w:type="spellStart"/>
      <w:r w:rsidR="00634D50" w:rsidRPr="0031693D">
        <w:rPr>
          <w:i/>
          <w:sz w:val="18"/>
          <w:szCs w:val="18"/>
          <w:lang w:val="en-US"/>
        </w:rPr>
        <w:t>ngày</w:t>
      </w:r>
      <w:proofErr w:type="spellEnd"/>
      <w:r w:rsidR="00634D50" w:rsidRPr="0031693D">
        <w:rPr>
          <w:i/>
          <w:sz w:val="18"/>
          <w:szCs w:val="18"/>
          <w:lang w:val="en-US"/>
        </w:rPr>
        <w:t xml:space="preserve"> </w:t>
      </w:r>
      <w:r w:rsidRPr="0031693D">
        <w:rPr>
          <w:i/>
          <w:sz w:val="18"/>
          <w:szCs w:val="18"/>
          <w:lang w:val="en-US"/>
        </w:rPr>
        <w:t xml:space="preserve">13 </w:t>
      </w:r>
      <w:proofErr w:type="spellStart"/>
      <w:r w:rsidR="00634D50" w:rsidRPr="0031693D">
        <w:rPr>
          <w:i/>
          <w:sz w:val="18"/>
          <w:szCs w:val="18"/>
          <w:lang w:val="en-US"/>
        </w:rPr>
        <w:t>tháng</w:t>
      </w:r>
      <w:proofErr w:type="spellEnd"/>
      <w:r w:rsidR="00634D50" w:rsidRPr="0031693D">
        <w:rPr>
          <w:i/>
          <w:sz w:val="18"/>
          <w:szCs w:val="18"/>
          <w:lang w:val="en-US"/>
        </w:rPr>
        <w:t xml:space="preserve"> 01 </w:t>
      </w:r>
      <w:proofErr w:type="spellStart"/>
      <w:r w:rsidR="00634D50" w:rsidRPr="0031693D">
        <w:rPr>
          <w:i/>
          <w:sz w:val="18"/>
          <w:szCs w:val="18"/>
          <w:lang w:val="en-US"/>
        </w:rPr>
        <w:t>năm</w:t>
      </w:r>
      <w:proofErr w:type="spellEnd"/>
      <w:r w:rsidR="00634D50" w:rsidRPr="0031693D">
        <w:rPr>
          <w:i/>
          <w:sz w:val="18"/>
          <w:szCs w:val="18"/>
          <w:lang w:val="en-US"/>
        </w:rPr>
        <w:t xml:space="preserve"> </w:t>
      </w:r>
      <w:r w:rsidRPr="0031693D">
        <w:rPr>
          <w:i/>
          <w:sz w:val="18"/>
          <w:szCs w:val="18"/>
          <w:lang w:val="en-US"/>
        </w:rPr>
        <w:t xml:space="preserve">2015 </w:t>
      </w:r>
      <w:proofErr w:type="spellStart"/>
      <w:r w:rsidR="00634D50" w:rsidRPr="0031693D">
        <w:rPr>
          <w:i/>
          <w:sz w:val="18"/>
          <w:szCs w:val="18"/>
          <w:lang w:val="en-US"/>
        </w:rPr>
        <w:t>của</w:t>
      </w:r>
      <w:proofErr w:type="spellEnd"/>
      <w:r w:rsidR="00634D50" w:rsidRPr="0031693D">
        <w:rPr>
          <w:i/>
          <w:sz w:val="18"/>
          <w:szCs w:val="18"/>
          <w:lang w:val="en-US"/>
        </w:rPr>
        <w:t xml:space="preserve"> </w:t>
      </w:r>
      <w:proofErr w:type="spellStart"/>
      <w:r w:rsidR="00634D50" w:rsidRPr="0031693D">
        <w:rPr>
          <w:i/>
          <w:sz w:val="18"/>
          <w:szCs w:val="18"/>
          <w:lang w:val="en-US"/>
        </w:rPr>
        <w:t>Chính</w:t>
      </w:r>
      <w:proofErr w:type="spellEnd"/>
      <w:r w:rsidR="00634D50" w:rsidRPr="0031693D">
        <w:rPr>
          <w:i/>
          <w:sz w:val="18"/>
          <w:szCs w:val="18"/>
          <w:lang w:val="en-US"/>
        </w:rPr>
        <w:t xml:space="preserve"> </w:t>
      </w:r>
      <w:proofErr w:type="spellStart"/>
      <w:r w:rsidR="00634D50" w:rsidRPr="0031693D">
        <w:rPr>
          <w:i/>
          <w:sz w:val="18"/>
          <w:szCs w:val="18"/>
          <w:lang w:val="en-US"/>
        </w:rPr>
        <w:t>Phủ</w:t>
      </w:r>
      <w:proofErr w:type="spellEnd"/>
      <w:r w:rsidR="00634D50" w:rsidRPr="0031693D">
        <w:rPr>
          <w:i/>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48" w:rsidRPr="009307CD" w:rsidRDefault="00C05A48" w:rsidP="00C05A48">
    <w:pPr>
      <w:pBdr>
        <w:bottom w:val="single" w:sz="6" w:space="1" w:color="auto"/>
      </w:pBdr>
      <w:shd w:val="clear" w:color="auto" w:fill="FFFFFF"/>
      <w:jc w:val="both"/>
      <w:rPr>
        <w:rFonts w:eastAsia="Times New Roman"/>
        <w:i/>
        <w:color w:val="222222"/>
        <w:sz w:val="20"/>
        <w:szCs w:val="20"/>
      </w:rPr>
    </w:pPr>
    <w:proofErr w:type="spellStart"/>
    <w:r>
      <w:rPr>
        <w:rFonts w:eastAsia="Times New Roman"/>
        <w:i/>
        <w:color w:val="222222"/>
        <w:sz w:val="20"/>
        <w:szCs w:val="20"/>
      </w:rPr>
      <w:t>Phụ</w:t>
    </w:r>
    <w:proofErr w:type="spellEnd"/>
    <w:r>
      <w:rPr>
        <w:rFonts w:eastAsia="Times New Roman"/>
        <w:i/>
        <w:color w:val="222222"/>
        <w:sz w:val="20"/>
        <w:szCs w:val="20"/>
      </w:rPr>
      <w:t xml:space="preserve"> </w:t>
    </w:r>
    <w:proofErr w:type="spellStart"/>
    <w:r>
      <w:rPr>
        <w:rFonts w:eastAsia="Times New Roman"/>
        <w:i/>
        <w:color w:val="222222"/>
        <w:sz w:val="20"/>
        <w:szCs w:val="20"/>
      </w:rPr>
      <w:t>lục</w:t>
    </w:r>
    <w:proofErr w:type="spellEnd"/>
    <w:r>
      <w:rPr>
        <w:rFonts w:eastAsia="Times New Roman"/>
        <w:i/>
        <w:color w:val="222222"/>
        <w:sz w:val="20"/>
        <w:szCs w:val="20"/>
      </w:rPr>
      <w:t xml:space="preserve"> 1 – BWG                                                                         </w:t>
    </w:r>
    <w:proofErr w:type="spellStart"/>
    <w:r>
      <w:rPr>
        <w:rFonts w:eastAsia="Times New Roman"/>
        <w:i/>
        <w:color w:val="222222"/>
        <w:sz w:val="20"/>
        <w:szCs w:val="20"/>
      </w:rPr>
      <w:t>Diễn</w:t>
    </w:r>
    <w:proofErr w:type="spellEnd"/>
    <w:r>
      <w:rPr>
        <w:rFonts w:eastAsia="Times New Roman"/>
        <w:i/>
        <w:color w:val="222222"/>
        <w:sz w:val="20"/>
        <w:szCs w:val="20"/>
      </w:rPr>
      <w:t xml:space="preserve"> </w:t>
    </w:r>
    <w:proofErr w:type="spellStart"/>
    <w:r>
      <w:rPr>
        <w:rFonts w:eastAsia="Times New Roman"/>
        <w:i/>
        <w:color w:val="222222"/>
        <w:sz w:val="20"/>
        <w:szCs w:val="20"/>
      </w:rPr>
      <w:t>đàn</w:t>
    </w:r>
    <w:proofErr w:type="spellEnd"/>
    <w:r>
      <w:rPr>
        <w:rFonts w:eastAsia="Times New Roman"/>
        <w:i/>
        <w:color w:val="222222"/>
        <w:sz w:val="20"/>
        <w:szCs w:val="20"/>
      </w:rPr>
      <w:t xml:space="preserve"> </w:t>
    </w:r>
    <w:proofErr w:type="spellStart"/>
    <w:r>
      <w:rPr>
        <w:rFonts w:eastAsia="Times New Roman"/>
        <w:i/>
        <w:color w:val="222222"/>
        <w:sz w:val="20"/>
        <w:szCs w:val="20"/>
      </w:rPr>
      <w:t>Doanh</w:t>
    </w:r>
    <w:proofErr w:type="spellEnd"/>
    <w:r>
      <w:rPr>
        <w:rFonts w:eastAsia="Times New Roman"/>
        <w:i/>
        <w:color w:val="222222"/>
        <w:sz w:val="20"/>
        <w:szCs w:val="20"/>
      </w:rPr>
      <w:t xml:space="preserve"> </w:t>
    </w:r>
    <w:proofErr w:type="spellStart"/>
    <w:r>
      <w:rPr>
        <w:rFonts w:eastAsia="Times New Roman"/>
        <w:i/>
        <w:color w:val="222222"/>
        <w:sz w:val="20"/>
        <w:szCs w:val="20"/>
      </w:rPr>
      <w:t>nghiệp</w:t>
    </w:r>
    <w:proofErr w:type="spellEnd"/>
    <w:r>
      <w:rPr>
        <w:rFonts w:eastAsia="Times New Roman"/>
        <w:i/>
        <w:color w:val="222222"/>
        <w:sz w:val="20"/>
        <w:szCs w:val="20"/>
      </w:rPr>
      <w:t xml:space="preserve"> Việt Nam </w:t>
    </w:r>
    <w:proofErr w:type="spellStart"/>
    <w:r>
      <w:rPr>
        <w:rFonts w:eastAsia="Times New Roman"/>
        <w:i/>
        <w:color w:val="222222"/>
        <w:sz w:val="20"/>
        <w:szCs w:val="20"/>
      </w:rPr>
      <w:t>thường</w:t>
    </w:r>
    <w:proofErr w:type="spellEnd"/>
    <w:r>
      <w:rPr>
        <w:rFonts w:eastAsia="Times New Roman"/>
        <w:i/>
        <w:color w:val="222222"/>
        <w:sz w:val="20"/>
        <w:szCs w:val="20"/>
      </w:rPr>
      <w:t xml:space="preserve"> </w:t>
    </w:r>
    <w:proofErr w:type="spellStart"/>
    <w:r>
      <w:rPr>
        <w:rFonts w:eastAsia="Times New Roman"/>
        <w:i/>
        <w:color w:val="222222"/>
        <w:sz w:val="20"/>
        <w:szCs w:val="20"/>
      </w:rPr>
      <w:t>niên</w:t>
    </w:r>
    <w:proofErr w:type="spellEnd"/>
    <w:r>
      <w:rPr>
        <w:rFonts w:eastAsia="Times New Roman"/>
        <w:i/>
        <w:color w:val="222222"/>
        <w:sz w:val="20"/>
        <w:szCs w:val="20"/>
      </w:rPr>
      <w:t>, 2017</w:t>
    </w:r>
  </w:p>
  <w:p w:rsidR="0088557B" w:rsidRDefault="00885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574"/>
    </w:tblGrid>
    <w:tr w:rsidR="005D5CB3" w:rsidTr="005D5CB3">
      <w:tc>
        <w:tcPr>
          <w:tcW w:w="9854" w:type="dxa"/>
        </w:tcPr>
        <w:bookmarkStart w:id="1" w:name="bmkHeaderPrimaryDoc"/>
        <w:p w:rsidR="005D5CB3" w:rsidRDefault="005D5CB3" w:rsidP="005D5CB3">
          <w:pPr>
            <w:pStyle w:val="AONormal8LBold"/>
          </w:pPr>
          <w:r>
            <w:fldChar w:fldCharType="begin"/>
          </w:r>
          <w:r>
            <w:instrText xml:space="preserve"> DOCPROPERTY  cpHeaderText </w:instrText>
          </w:r>
          <w:r>
            <w:fldChar w:fldCharType="separate"/>
          </w:r>
          <w:r w:rsidR="001852DD">
            <w:t xml:space="preserve"> </w:t>
          </w:r>
          <w:r>
            <w:fldChar w:fldCharType="end"/>
          </w:r>
        </w:p>
      </w:tc>
    </w:tr>
    <w:bookmarkEnd w:id="1"/>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274E15DE"/>
    <w:multiLevelType w:val="hybridMultilevel"/>
    <w:tmpl w:val="29C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12"/>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7D"/>
    <w:rsid w:val="0000059C"/>
    <w:rsid w:val="00002192"/>
    <w:rsid w:val="00004D1D"/>
    <w:rsid w:val="00034A6B"/>
    <w:rsid w:val="00035DF9"/>
    <w:rsid w:val="000520A8"/>
    <w:rsid w:val="00064AD1"/>
    <w:rsid w:val="00083181"/>
    <w:rsid w:val="000A1258"/>
    <w:rsid w:val="000B0E94"/>
    <w:rsid w:val="000C5E16"/>
    <w:rsid w:val="000D0702"/>
    <w:rsid w:val="000F766E"/>
    <w:rsid w:val="00135081"/>
    <w:rsid w:val="00136370"/>
    <w:rsid w:val="0015667D"/>
    <w:rsid w:val="00164573"/>
    <w:rsid w:val="00172184"/>
    <w:rsid w:val="00173A3C"/>
    <w:rsid w:val="001837F3"/>
    <w:rsid w:val="001852DD"/>
    <w:rsid w:val="001E7139"/>
    <w:rsid w:val="001E79DF"/>
    <w:rsid w:val="001F73F1"/>
    <w:rsid w:val="00200231"/>
    <w:rsid w:val="00207F8C"/>
    <w:rsid w:val="0021178A"/>
    <w:rsid w:val="00220F07"/>
    <w:rsid w:val="00233F2F"/>
    <w:rsid w:val="00244F4C"/>
    <w:rsid w:val="00251D49"/>
    <w:rsid w:val="00253CBB"/>
    <w:rsid w:val="00274107"/>
    <w:rsid w:val="0028067B"/>
    <w:rsid w:val="002912A0"/>
    <w:rsid w:val="002A01D2"/>
    <w:rsid w:val="002B7572"/>
    <w:rsid w:val="002C7C8B"/>
    <w:rsid w:val="002D73D0"/>
    <w:rsid w:val="002E0DDE"/>
    <w:rsid w:val="00301204"/>
    <w:rsid w:val="003157CC"/>
    <w:rsid w:val="0031693D"/>
    <w:rsid w:val="0031709B"/>
    <w:rsid w:val="0032251E"/>
    <w:rsid w:val="00334AA1"/>
    <w:rsid w:val="003410A7"/>
    <w:rsid w:val="00345851"/>
    <w:rsid w:val="00367453"/>
    <w:rsid w:val="00375A6D"/>
    <w:rsid w:val="003813A3"/>
    <w:rsid w:val="003C60C6"/>
    <w:rsid w:val="003D094E"/>
    <w:rsid w:val="003D734A"/>
    <w:rsid w:val="003F0957"/>
    <w:rsid w:val="004127E4"/>
    <w:rsid w:val="004213DE"/>
    <w:rsid w:val="00421ED8"/>
    <w:rsid w:val="00432A6C"/>
    <w:rsid w:val="00440AD2"/>
    <w:rsid w:val="00440C96"/>
    <w:rsid w:val="00440E09"/>
    <w:rsid w:val="0045533C"/>
    <w:rsid w:val="00463113"/>
    <w:rsid w:val="0046358F"/>
    <w:rsid w:val="0047162F"/>
    <w:rsid w:val="00474756"/>
    <w:rsid w:val="004A6489"/>
    <w:rsid w:val="004B1A66"/>
    <w:rsid w:val="004B369B"/>
    <w:rsid w:val="004B39A3"/>
    <w:rsid w:val="004C587E"/>
    <w:rsid w:val="004D3C54"/>
    <w:rsid w:val="004D63AA"/>
    <w:rsid w:val="00511376"/>
    <w:rsid w:val="00514432"/>
    <w:rsid w:val="005712D8"/>
    <w:rsid w:val="0058358C"/>
    <w:rsid w:val="00592D48"/>
    <w:rsid w:val="005C595A"/>
    <w:rsid w:val="005D16AE"/>
    <w:rsid w:val="005D5CB3"/>
    <w:rsid w:val="005E5E8C"/>
    <w:rsid w:val="005F7D5A"/>
    <w:rsid w:val="00624BE1"/>
    <w:rsid w:val="00630AD0"/>
    <w:rsid w:val="00634D50"/>
    <w:rsid w:val="0064465A"/>
    <w:rsid w:val="006541E1"/>
    <w:rsid w:val="0068599B"/>
    <w:rsid w:val="006A5AA0"/>
    <w:rsid w:val="006B45FD"/>
    <w:rsid w:val="006C6D54"/>
    <w:rsid w:val="006D7B60"/>
    <w:rsid w:val="006F4DD9"/>
    <w:rsid w:val="007019B8"/>
    <w:rsid w:val="00723248"/>
    <w:rsid w:val="00730573"/>
    <w:rsid w:val="00751806"/>
    <w:rsid w:val="00753260"/>
    <w:rsid w:val="00762422"/>
    <w:rsid w:val="00782AD5"/>
    <w:rsid w:val="007930DB"/>
    <w:rsid w:val="007C5A72"/>
    <w:rsid w:val="007C63AF"/>
    <w:rsid w:val="007D46D4"/>
    <w:rsid w:val="007D75EC"/>
    <w:rsid w:val="007E7E9B"/>
    <w:rsid w:val="007F3F86"/>
    <w:rsid w:val="00814EF6"/>
    <w:rsid w:val="00822A1E"/>
    <w:rsid w:val="00850092"/>
    <w:rsid w:val="00864B73"/>
    <w:rsid w:val="008722A3"/>
    <w:rsid w:val="0088557B"/>
    <w:rsid w:val="008C14D4"/>
    <w:rsid w:val="008E0A09"/>
    <w:rsid w:val="008E3853"/>
    <w:rsid w:val="008F5F71"/>
    <w:rsid w:val="008F68D8"/>
    <w:rsid w:val="00905FCE"/>
    <w:rsid w:val="00920631"/>
    <w:rsid w:val="009415FC"/>
    <w:rsid w:val="00956D5B"/>
    <w:rsid w:val="00960F52"/>
    <w:rsid w:val="00966BC7"/>
    <w:rsid w:val="00980C37"/>
    <w:rsid w:val="00984551"/>
    <w:rsid w:val="009B6BA1"/>
    <w:rsid w:val="009B7373"/>
    <w:rsid w:val="009C7526"/>
    <w:rsid w:val="009D0A28"/>
    <w:rsid w:val="009D20EB"/>
    <w:rsid w:val="009E0C49"/>
    <w:rsid w:val="009E449C"/>
    <w:rsid w:val="00A279B2"/>
    <w:rsid w:val="00A301F4"/>
    <w:rsid w:val="00A455E9"/>
    <w:rsid w:val="00A76A73"/>
    <w:rsid w:val="00A80854"/>
    <w:rsid w:val="00A92E5B"/>
    <w:rsid w:val="00AE6F23"/>
    <w:rsid w:val="00B1321E"/>
    <w:rsid w:val="00B15851"/>
    <w:rsid w:val="00BA6B05"/>
    <w:rsid w:val="00BB07C3"/>
    <w:rsid w:val="00BB7754"/>
    <w:rsid w:val="00BC0964"/>
    <w:rsid w:val="00BE2502"/>
    <w:rsid w:val="00BF1C21"/>
    <w:rsid w:val="00BF2800"/>
    <w:rsid w:val="00C05A48"/>
    <w:rsid w:val="00C2524B"/>
    <w:rsid w:val="00C27C6D"/>
    <w:rsid w:val="00C3251D"/>
    <w:rsid w:val="00C365D7"/>
    <w:rsid w:val="00C46506"/>
    <w:rsid w:val="00C5428A"/>
    <w:rsid w:val="00C67E83"/>
    <w:rsid w:val="00C7127B"/>
    <w:rsid w:val="00C74A6E"/>
    <w:rsid w:val="00CA2C1F"/>
    <w:rsid w:val="00CA6867"/>
    <w:rsid w:val="00CC19DE"/>
    <w:rsid w:val="00CC19F6"/>
    <w:rsid w:val="00D03DDB"/>
    <w:rsid w:val="00D15D80"/>
    <w:rsid w:val="00D1733B"/>
    <w:rsid w:val="00D60A12"/>
    <w:rsid w:val="00D619CD"/>
    <w:rsid w:val="00D836DC"/>
    <w:rsid w:val="00E05622"/>
    <w:rsid w:val="00E17B23"/>
    <w:rsid w:val="00E20BE5"/>
    <w:rsid w:val="00E30C20"/>
    <w:rsid w:val="00E41450"/>
    <w:rsid w:val="00E51409"/>
    <w:rsid w:val="00E62A45"/>
    <w:rsid w:val="00E72D84"/>
    <w:rsid w:val="00E768B3"/>
    <w:rsid w:val="00E81B74"/>
    <w:rsid w:val="00E842CE"/>
    <w:rsid w:val="00E904EB"/>
    <w:rsid w:val="00E9172D"/>
    <w:rsid w:val="00EA5A2B"/>
    <w:rsid w:val="00EC6723"/>
    <w:rsid w:val="00ED1E76"/>
    <w:rsid w:val="00EF1683"/>
    <w:rsid w:val="00F01CD0"/>
    <w:rsid w:val="00F17DA4"/>
    <w:rsid w:val="00F204E1"/>
    <w:rsid w:val="00F53AE3"/>
    <w:rsid w:val="00F53B14"/>
    <w:rsid w:val="00F553A4"/>
    <w:rsid w:val="00F647A7"/>
    <w:rsid w:val="00F673E3"/>
    <w:rsid w:val="00F676B5"/>
    <w:rsid w:val="00F70721"/>
    <w:rsid w:val="00F76432"/>
    <w:rsid w:val="00F848A5"/>
    <w:rsid w:val="00F93ECA"/>
    <w:rsid w:val="00F9779C"/>
    <w:rsid w:val="00FC69A1"/>
    <w:rsid w:val="00FD0FDF"/>
    <w:rsid w:val="00FD4C5E"/>
    <w:rsid w:val="00FD4EF2"/>
    <w:rsid w:val="00FE0C70"/>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432"/>
    <w:rPr>
      <w:vertAlign w:val="superscript"/>
    </w:rPr>
  </w:style>
  <w:style w:type="character" w:styleId="Hyperlink">
    <w:name w:val="Hyperlink"/>
    <w:basedOn w:val="DefaultParagraphFont"/>
    <w:uiPriority w:val="99"/>
    <w:unhideWhenUsed/>
    <w:rsid w:val="00F67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432"/>
    <w:rPr>
      <w:vertAlign w:val="superscript"/>
    </w:rPr>
  </w:style>
  <w:style w:type="character" w:styleId="Hyperlink">
    <w:name w:val="Hyperlink"/>
    <w:basedOn w:val="DefaultParagraphFont"/>
    <w:uiPriority w:val="99"/>
    <w:unhideWhenUsed/>
    <w:rsid w:val="00F67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alliance.com/assets/publications/cash/Treasury_Alliance_Notional_Physical_Pooling_Revisit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11-06T13-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D0AE9-98AF-4198-B062-81707B8E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7</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Dell</cp:lastModifiedBy>
  <cp:revision>6</cp:revision>
  <cp:lastPrinted>2017-12-09T18:26:00Z</cp:lastPrinted>
  <dcterms:created xsi:type="dcterms:W3CDTF">2017-12-09T06:02:00Z</dcterms:created>
  <dcterms:modified xsi:type="dcterms:W3CDTF">2017-12-09T18:27:00Z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AO</vt:lpwstr>
  </property>
  <property fmtid="{D5CDD505-2E9C-101B-9397-08002B2CF9AE}" pid="9" name="AuthorName">
    <vt:lpwstr>AO</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Hanoi</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PERSONAL</vt:lpwstr>
  </property>
  <property fmtid="{D5CDD505-2E9C-101B-9397-08002B2CF9AE}" pid="23" name="Matter">
    <vt:lpwstr>QUACHTU</vt:lpwstr>
  </property>
  <property fmtid="{D5CDD505-2E9C-101B-9397-08002B2CF9AE}" pid="24" name="cpClientMatter">
    <vt:lpwstr>PERSONAL-QUACHTU</vt:lpwstr>
  </property>
  <property fmtid="{D5CDD505-2E9C-101B-9397-08002B2CF9AE}" pid="25" name="cpDocRef">
    <vt:lpwstr>VN:1772648.2</vt:lpwstr>
  </property>
  <property fmtid="{D5CDD505-2E9C-101B-9397-08002B2CF9AE}" pid="26" name="cpCombinedRef">
    <vt:lpwstr>PERSONAL-QUACHTU VN:1772648.2</vt:lpwstr>
  </property>
</Properties>
</file>