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0CE" w:rsidRPr="00573701" w:rsidRDefault="00573701" w:rsidP="00573701">
      <w:pPr>
        <w:tabs>
          <w:tab w:val="left" w:pos="1170"/>
          <w:tab w:val="left" w:pos="2469"/>
          <w:tab w:val="center" w:pos="4680"/>
          <w:tab w:val="left" w:pos="6390"/>
          <w:tab w:val="left" w:pos="7740"/>
          <w:tab w:val="left" w:pos="7830"/>
        </w:tabs>
        <w:spacing w:after="0" w:line="240" w:lineRule="auto"/>
        <w:rPr>
          <w:rFonts w:asciiTheme="majorHAnsi" w:hAnsiTheme="majorHAnsi" w:cstheme="majorHAnsi"/>
          <w:b/>
          <w:sz w:val="24"/>
          <w:szCs w:val="24"/>
        </w:rPr>
      </w:pP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t xml:space="preserve">POSITION </w:t>
      </w:r>
      <w:r w:rsidRPr="00573701">
        <w:rPr>
          <w:rFonts w:asciiTheme="majorHAnsi" w:eastAsiaTheme="minorHAnsi" w:hAnsiTheme="majorHAnsi" w:cstheme="majorHAnsi"/>
          <w:b/>
          <w:sz w:val="24"/>
          <w:szCs w:val="24"/>
          <w:lang w:eastAsia="en-US"/>
        </w:rPr>
        <w:t>PAPER</w:t>
      </w:r>
      <w:r w:rsidRPr="00573701">
        <w:rPr>
          <w:rFonts w:asciiTheme="majorHAnsi" w:hAnsiTheme="majorHAnsi" w:cstheme="majorHAnsi"/>
          <w:b/>
          <w:sz w:val="24"/>
          <w:szCs w:val="24"/>
        </w:rPr>
        <w:t xml:space="preserve"> </w:t>
      </w:r>
      <w:r>
        <w:rPr>
          <w:rFonts w:asciiTheme="majorHAnsi" w:hAnsiTheme="majorHAnsi" w:cstheme="majorHAnsi"/>
          <w:b/>
          <w:sz w:val="24"/>
          <w:szCs w:val="24"/>
        </w:rPr>
        <w:t xml:space="preserve">OF </w:t>
      </w:r>
      <w:r w:rsidR="005B10CE" w:rsidRPr="00573701">
        <w:rPr>
          <w:rFonts w:asciiTheme="majorHAnsi" w:hAnsiTheme="majorHAnsi" w:cstheme="majorHAnsi"/>
          <w:b/>
          <w:sz w:val="24"/>
          <w:szCs w:val="24"/>
        </w:rPr>
        <w:t xml:space="preserve">LAND WORKING GROUP </w:t>
      </w:r>
    </w:p>
    <w:p w:rsidR="005B10CE" w:rsidRPr="00573701" w:rsidRDefault="005B10CE" w:rsidP="00573701">
      <w:pPr>
        <w:tabs>
          <w:tab w:val="left" w:pos="1170"/>
          <w:tab w:val="left" w:pos="6390"/>
          <w:tab w:val="left" w:pos="7740"/>
          <w:tab w:val="left" w:pos="7830"/>
        </w:tabs>
        <w:spacing w:after="0" w:line="240" w:lineRule="auto"/>
        <w:jc w:val="center"/>
        <w:rPr>
          <w:rFonts w:asciiTheme="majorHAnsi" w:eastAsiaTheme="minorHAnsi" w:hAnsiTheme="majorHAnsi" w:cstheme="majorHAnsi"/>
          <w:b/>
          <w:sz w:val="24"/>
          <w:szCs w:val="24"/>
          <w:lang w:eastAsia="en-US"/>
        </w:rPr>
      </w:pPr>
    </w:p>
    <w:p w:rsidR="005B10CE" w:rsidRPr="00573701" w:rsidRDefault="00573701" w:rsidP="00573701">
      <w:pPr>
        <w:tabs>
          <w:tab w:val="left" w:pos="1170"/>
          <w:tab w:val="left" w:pos="6390"/>
          <w:tab w:val="left" w:pos="7740"/>
          <w:tab w:val="left" w:pos="7830"/>
        </w:tabs>
        <w:spacing w:after="0" w:line="240" w:lineRule="auto"/>
        <w:ind w:left="720"/>
        <w:jc w:val="right"/>
        <w:rPr>
          <w:rFonts w:asciiTheme="majorHAnsi" w:hAnsiTheme="majorHAnsi" w:cstheme="majorHAnsi"/>
          <w:i/>
          <w:sz w:val="24"/>
          <w:szCs w:val="24"/>
        </w:rPr>
      </w:pPr>
      <w:r>
        <w:rPr>
          <w:rFonts w:asciiTheme="majorHAnsi" w:hAnsiTheme="majorHAnsi" w:cstheme="majorHAnsi"/>
          <w:i/>
          <w:sz w:val="24"/>
          <w:szCs w:val="24"/>
        </w:rPr>
        <w:t>Prepared by</w:t>
      </w:r>
    </w:p>
    <w:p w:rsidR="005B10CE" w:rsidRDefault="005B10CE" w:rsidP="00573701">
      <w:pPr>
        <w:tabs>
          <w:tab w:val="left" w:pos="1170"/>
          <w:tab w:val="left" w:pos="6390"/>
          <w:tab w:val="left" w:pos="7740"/>
          <w:tab w:val="left" w:pos="7830"/>
        </w:tabs>
        <w:spacing w:after="0" w:line="240" w:lineRule="auto"/>
        <w:ind w:left="720"/>
        <w:jc w:val="right"/>
        <w:rPr>
          <w:rFonts w:asciiTheme="majorHAnsi" w:hAnsiTheme="majorHAnsi" w:cstheme="majorHAnsi"/>
          <w:i/>
          <w:sz w:val="24"/>
          <w:szCs w:val="24"/>
        </w:rPr>
      </w:pPr>
      <w:r w:rsidRPr="00573701">
        <w:rPr>
          <w:rFonts w:asciiTheme="majorHAnsi" w:hAnsiTheme="majorHAnsi" w:cstheme="majorHAnsi"/>
          <w:i/>
          <w:sz w:val="24"/>
          <w:szCs w:val="24"/>
        </w:rPr>
        <w:t xml:space="preserve">Land </w:t>
      </w:r>
      <w:r w:rsidR="002004CB">
        <w:rPr>
          <w:rFonts w:asciiTheme="majorHAnsi" w:hAnsiTheme="majorHAnsi" w:cstheme="majorHAnsi"/>
          <w:i/>
          <w:sz w:val="24"/>
          <w:szCs w:val="24"/>
        </w:rPr>
        <w:t>Sub-</w:t>
      </w:r>
      <w:r w:rsidRPr="00573701">
        <w:rPr>
          <w:rFonts w:asciiTheme="majorHAnsi" w:hAnsiTheme="majorHAnsi" w:cstheme="majorHAnsi"/>
          <w:i/>
          <w:sz w:val="24"/>
          <w:szCs w:val="24"/>
        </w:rPr>
        <w:t>Working Group</w:t>
      </w:r>
    </w:p>
    <w:p w:rsidR="005B10CE" w:rsidRPr="00573701" w:rsidRDefault="005B10CE" w:rsidP="00573701">
      <w:pPr>
        <w:tabs>
          <w:tab w:val="left" w:pos="1170"/>
          <w:tab w:val="left" w:pos="6390"/>
          <w:tab w:val="left" w:pos="7740"/>
          <w:tab w:val="left" w:pos="7830"/>
        </w:tabs>
        <w:spacing w:after="0" w:line="240" w:lineRule="auto"/>
        <w:ind w:left="720"/>
        <w:jc w:val="right"/>
        <w:rPr>
          <w:rFonts w:asciiTheme="majorHAnsi" w:hAnsiTheme="majorHAnsi" w:cstheme="majorHAnsi"/>
          <w:i/>
          <w:sz w:val="24"/>
          <w:szCs w:val="24"/>
        </w:rPr>
      </w:pPr>
    </w:p>
    <w:p w:rsidR="00573701" w:rsidRDefault="005B10CE" w:rsidP="00573701">
      <w:pPr>
        <w:pStyle w:val="ListParagraph"/>
        <w:numPr>
          <w:ilvl w:val="0"/>
          <w:numId w:val="6"/>
        </w:numPr>
        <w:tabs>
          <w:tab w:val="left" w:pos="6390"/>
          <w:tab w:val="left" w:pos="7740"/>
          <w:tab w:val="left" w:pos="7830"/>
        </w:tabs>
        <w:spacing w:after="0" w:line="240" w:lineRule="auto"/>
        <w:ind w:left="360" w:hanging="450"/>
        <w:jc w:val="both"/>
        <w:rPr>
          <w:rFonts w:asciiTheme="majorHAnsi" w:hAnsiTheme="majorHAnsi" w:cstheme="majorHAnsi"/>
          <w:b/>
          <w:sz w:val="24"/>
          <w:szCs w:val="24"/>
        </w:rPr>
      </w:pPr>
      <w:r w:rsidRPr="00573701">
        <w:rPr>
          <w:rFonts w:asciiTheme="majorHAnsi" w:hAnsiTheme="majorHAnsi" w:cstheme="majorHAnsi"/>
          <w:b/>
          <w:sz w:val="24"/>
          <w:szCs w:val="24"/>
        </w:rPr>
        <w:t>INTRODUCTION</w:t>
      </w:r>
    </w:p>
    <w:p w:rsidR="00573701" w:rsidRDefault="00573701" w:rsidP="00573701">
      <w:pPr>
        <w:tabs>
          <w:tab w:val="left" w:pos="6390"/>
          <w:tab w:val="left" w:pos="7740"/>
          <w:tab w:val="left" w:pos="7830"/>
        </w:tabs>
        <w:spacing w:after="0" w:line="240" w:lineRule="auto"/>
        <w:ind w:left="-90"/>
        <w:jc w:val="both"/>
        <w:rPr>
          <w:rFonts w:asciiTheme="majorHAnsi" w:hAnsiTheme="majorHAnsi" w:cstheme="majorHAnsi"/>
          <w:sz w:val="24"/>
          <w:szCs w:val="24"/>
        </w:rPr>
      </w:pPr>
    </w:p>
    <w:p w:rsidR="00C549F9" w:rsidRPr="00573701" w:rsidRDefault="00C549F9" w:rsidP="00573701">
      <w:pPr>
        <w:tabs>
          <w:tab w:val="left" w:pos="6390"/>
          <w:tab w:val="left" w:pos="7740"/>
          <w:tab w:val="left" w:pos="7830"/>
        </w:tabs>
        <w:spacing w:after="0" w:line="240" w:lineRule="auto"/>
        <w:ind w:left="-90"/>
        <w:jc w:val="both"/>
        <w:rPr>
          <w:rFonts w:asciiTheme="majorHAnsi" w:hAnsiTheme="majorHAnsi" w:cstheme="majorHAnsi"/>
          <w:b/>
          <w:sz w:val="24"/>
          <w:szCs w:val="24"/>
        </w:rPr>
      </w:pPr>
      <w:r w:rsidRPr="00573701">
        <w:rPr>
          <w:rFonts w:asciiTheme="majorHAnsi" w:hAnsiTheme="majorHAnsi" w:cstheme="majorHAnsi"/>
          <w:sz w:val="24"/>
          <w:szCs w:val="24"/>
        </w:rPr>
        <w:t>The new legislations have promulgated to facilitate the real estate market, including the Law on Real Estate Business 2014 (“</w:t>
      </w:r>
      <w:r w:rsidRPr="00573701">
        <w:rPr>
          <w:rFonts w:asciiTheme="majorHAnsi" w:hAnsiTheme="majorHAnsi" w:cstheme="majorHAnsi"/>
          <w:b/>
          <w:sz w:val="24"/>
          <w:szCs w:val="24"/>
        </w:rPr>
        <w:t>LREB</w:t>
      </w:r>
      <w:r w:rsidRPr="00573701">
        <w:rPr>
          <w:rFonts w:asciiTheme="majorHAnsi" w:hAnsiTheme="majorHAnsi" w:cstheme="majorHAnsi"/>
          <w:sz w:val="24"/>
          <w:szCs w:val="24"/>
        </w:rPr>
        <w:t>”) and the Law on Residential Housing 2014 (“</w:t>
      </w:r>
      <w:r w:rsidRPr="00573701">
        <w:rPr>
          <w:rFonts w:asciiTheme="majorHAnsi" w:hAnsiTheme="majorHAnsi" w:cstheme="majorHAnsi"/>
          <w:b/>
          <w:sz w:val="24"/>
          <w:szCs w:val="24"/>
        </w:rPr>
        <w:t>LRH</w:t>
      </w:r>
      <w:r w:rsidRPr="00573701">
        <w:rPr>
          <w:rFonts w:asciiTheme="majorHAnsi" w:hAnsiTheme="majorHAnsi" w:cstheme="majorHAnsi"/>
          <w:sz w:val="24"/>
          <w:szCs w:val="24"/>
        </w:rPr>
        <w:t>”) which all are effective as from 1 July 2015</w:t>
      </w:r>
      <w:r w:rsidR="00153939" w:rsidRPr="00573701">
        <w:rPr>
          <w:rFonts w:asciiTheme="majorHAnsi" w:hAnsiTheme="majorHAnsi" w:cstheme="majorHAnsi"/>
          <w:sz w:val="24"/>
          <w:szCs w:val="24"/>
        </w:rPr>
        <w:t>.</w:t>
      </w:r>
      <w:r w:rsidRPr="00573701">
        <w:rPr>
          <w:rFonts w:asciiTheme="majorHAnsi" w:hAnsiTheme="majorHAnsi" w:cstheme="majorHAnsi"/>
          <w:sz w:val="24"/>
          <w:szCs w:val="24"/>
        </w:rPr>
        <w:t xml:space="preserve"> Further, Decree No. 76/2015/ND-CP guiding the LREB (“</w:t>
      </w:r>
      <w:r w:rsidRPr="00573701">
        <w:rPr>
          <w:rFonts w:asciiTheme="majorHAnsi" w:hAnsiTheme="majorHAnsi" w:cstheme="majorHAnsi"/>
          <w:b/>
          <w:sz w:val="24"/>
          <w:szCs w:val="24"/>
        </w:rPr>
        <w:t>Decree 76</w:t>
      </w:r>
      <w:r w:rsidR="00F16C4F" w:rsidRPr="00573701">
        <w:rPr>
          <w:rFonts w:asciiTheme="majorHAnsi" w:hAnsiTheme="majorHAnsi" w:cstheme="majorHAnsi"/>
          <w:b/>
          <w:sz w:val="24"/>
          <w:szCs w:val="24"/>
        </w:rPr>
        <w:t>/2015</w:t>
      </w:r>
      <w:r w:rsidRPr="00573701">
        <w:rPr>
          <w:rFonts w:asciiTheme="majorHAnsi" w:hAnsiTheme="majorHAnsi" w:cstheme="majorHAnsi"/>
          <w:sz w:val="24"/>
          <w:szCs w:val="24"/>
        </w:rPr>
        <w:t>”) and Decree No. 99/2015/ND-CP guiding LRH (“</w:t>
      </w:r>
      <w:r w:rsidRPr="00573701">
        <w:rPr>
          <w:rFonts w:asciiTheme="majorHAnsi" w:hAnsiTheme="majorHAnsi" w:cstheme="majorHAnsi"/>
          <w:b/>
          <w:sz w:val="24"/>
          <w:szCs w:val="24"/>
        </w:rPr>
        <w:t>Decree 99</w:t>
      </w:r>
      <w:r w:rsidR="00F16C4F" w:rsidRPr="00573701">
        <w:rPr>
          <w:rFonts w:asciiTheme="majorHAnsi" w:hAnsiTheme="majorHAnsi" w:cstheme="majorHAnsi"/>
          <w:b/>
          <w:sz w:val="24"/>
          <w:szCs w:val="24"/>
        </w:rPr>
        <w:t>/2015</w:t>
      </w:r>
      <w:r w:rsidRPr="00573701">
        <w:rPr>
          <w:rFonts w:asciiTheme="majorHAnsi" w:hAnsiTheme="majorHAnsi" w:cstheme="majorHAnsi"/>
          <w:sz w:val="24"/>
          <w:szCs w:val="24"/>
        </w:rPr>
        <w:t xml:space="preserve">”) were officially issued on 10 September 2015 and 20 October 2015 respectively; together with issuance of the long-awaited </w:t>
      </w:r>
      <w:r w:rsidRPr="00573701">
        <w:rPr>
          <w:rFonts w:asciiTheme="majorHAnsi" w:hAnsiTheme="majorHAnsi" w:cstheme="majorHAnsi"/>
          <w:sz w:val="24"/>
          <w:szCs w:val="24"/>
          <w:lang w:val="en-GB"/>
        </w:rPr>
        <w:t>Decree No. 01/2017/ND-CP (“</w:t>
      </w:r>
      <w:r w:rsidRPr="00573701">
        <w:rPr>
          <w:rFonts w:asciiTheme="majorHAnsi" w:hAnsiTheme="majorHAnsi" w:cstheme="majorHAnsi"/>
          <w:b/>
          <w:sz w:val="24"/>
          <w:szCs w:val="24"/>
          <w:lang w:val="en-GB"/>
        </w:rPr>
        <w:t>Decree 01</w:t>
      </w:r>
      <w:r w:rsidR="00F16C4F" w:rsidRPr="00573701">
        <w:rPr>
          <w:rFonts w:asciiTheme="majorHAnsi" w:hAnsiTheme="majorHAnsi" w:cstheme="majorHAnsi"/>
          <w:b/>
          <w:sz w:val="24"/>
          <w:szCs w:val="24"/>
          <w:lang w:val="en-GB"/>
        </w:rPr>
        <w:t>/2017</w:t>
      </w:r>
      <w:r w:rsidRPr="00573701">
        <w:rPr>
          <w:rFonts w:asciiTheme="majorHAnsi" w:hAnsiTheme="majorHAnsi" w:cstheme="majorHAnsi"/>
          <w:sz w:val="24"/>
          <w:szCs w:val="24"/>
          <w:lang w:val="en-GB"/>
        </w:rPr>
        <w:t>”) amending three decrees guiding the law on land 2013 (“</w:t>
      </w:r>
      <w:r w:rsidRPr="00573701">
        <w:rPr>
          <w:rFonts w:asciiTheme="majorHAnsi" w:hAnsiTheme="majorHAnsi" w:cstheme="majorHAnsi"/>
          <w:b/>
          <w:sz w:val="24"/>
          <w:szCs w:val="24"/>
          <w:lang w:val="en-GB"/>
        </w:rPr>
        <w:t>Land Law</w:t>
      </w:r>
      <w:r w:rsidRPr="00573701">
        <w:rPr>
          <w:rFonts w:asciiTheme="majorHAnsi" w:hAnsiTheme="majorHAnsi" w:cstheme="majorHAnsi"/>
          <w:sz w:val="24"/>
          <w:szCs w:val="24"/>
          <w:lang w:val="en-GB"/>
        </w:rPr>
        <w:t xml:space="preserve">”) on 6 January 2017. </w:t>
      </w:r>
    </w:p>
    <w:p w:rsidR="00573701" w:rsidRPr="00573701" w:rsidRDefault="00573701" w:rsidP="00573701">
      <w:pPr>
        <w:tabs>
          <w:tab w:val="left" w:pos="1170"/>
          <w:tab w:val="left" w:pos="6390"/>
          <w:tab w:val="left" w:pos="7740"/>
          <w:tab w:val="left" w:pos="7830"/>
        </w:tabs>
        <w:spacing w:after="0" w:line="240" w:lineRule="auto"/>
        <w:ind w:left="720"/>
        <w:jc w:val="both"/>
        <w:rPr>
          <w:rFonts w:asciiTheme="majorHAnsi" w:hAnsiTheme="majorHAnsi" w:cstheme="majorHAnsi"/>
          <w:sz w:val="24"/>
          <w:szCs w:val="24"/>
          <w:lang w:val="en-GB"/>
        </w:rPr>
      </w:pPr>
    </w:p>
    <w:p w:rsidR="00C549F9" w:rsidRDefault="00C549F9" w:rsidP="00573701">
      <w:pPr>
        <w:tabs>
          <w:tab w:val="left" w:pos="6390"/>
          <w:tab w:val="left" w:pos="7740"/>
          <w:tab w:val="left" w:pos="7830"/>
        </w:tabs>
        <w:spacing w:after="0" w:line="240" w:lineRule="auto"/>
        <w:ind w:left="-90"/>
        <w:jc w:val="both"/>
        <w:rPr>
          <w:rFonts w:asciiTheme="majorHAnsi" w:hAnsiTheme="majorHAnsi" w:cstheme="majorHAnsi"/>
          <w:sz w:val="24"/>
          <w:szCs w:val="24"/>
        </w:rPr>
      </w:pPr>
      <w:r w:rsidRPr="00573701">
        <w:rPr>
          <w:rFonts w:asciiTheme="majorHAnsi" w:hAnsiTheme="majorHAnsi" w:cstheme="majorHAnsi"/>
          <w:sz w:val="24"/>
          <w:szCs w:val="24"/>
        </w:rPr>
        <w:t>These new legislations have brought more in</w:t>
      </w:r>
      <w:r w:rsidR="00311472" w:rsidRPr="00573701">
        <w:rPr>
          <w:rFonts w:asciiTheme="majorHAnsi" w:hAnsiTheme="majorHAnsi" w:cstheme="majorHAnsi"/>
          <w:sz w:val="24"/>
          <w:szCs w:val="24"/>
        </w:rPr>
        <w:t>vestment</w:t>
      </w:r>
      <w:r w:rsidRPr="00573701">
        <w:rPr>
          <w:rFonts w:asciiTheme="majorHAnsi" w:hAnsiTheme="majorHAnsi" w:cstheme="majorHAnsi"/>
          <w:sz w:val="24"/>
          <w:szCs w:val="24"/>
        </w:rPr>
        <w:t xml:space="preserve">s </w:t>
      </w:r>
      <w:r w:rsidR="00D8350F" w:rsidRPr="00573701">
        <w:rPr>
          <w:rFonts w:asciiTheme="majorHAnsi" w:hAnsiTheme="majorHAnsi" w:cstheme="majorHAnsi"/>
          <w:sz w:val="24"/>
          <w:szCs w:val="24"/>
        </w:rPr>
        <w:t>to</w:t>
      </w:r>
      <w:r w:rsidRPr="00573701">
        <w:rPr>
          <w:rFonts w:asciiTheme="majorHAnsi" w:hAnsiTheme="majorHAnsi" w:cstheme="majorHAnsi"/>
          <w:sz w:val="24"/>
          <w:szCs w:val="24"/>
        </w:rPr>
        <w:t xml:space="preserve"> the real estate industry by reducing</w:t>
      </w:r>
      <w:r w:rsidR="00311472" w:rsidRPr="00573701">
        <w:rPr>
          <w:rFonts w:asciiTheme="majorHAnsi" w:hAnsiTheme="majorHAnsi" w:cstheme="majorHAnsi"/>
          <w:sz w:val="24"/>
          <w:szCs w:val="24"/>
        </w:rPr>
        <w:t xml:space="preserve"> </w:t>
      </w:r>
      <w:r w:rsidRPr="00573701">
        <w:rPr>
          <w:rFonts w:asciiTheme="majorHAnsi" w:hAnsiTheme="majorHAnsi" w:cstheme="majorHAnsi"/>
          <w:sz w:val="24"/>
          <w:szCs w:val="24"/>
        </w:rPr>
        <w:t xml:space="preserve">barriers for investment and effectively widening accessibility to properties in Vietnam. Notwithstanding that, there are still existing issues which </w:t>
      </w:r>
      <w:r w:rsidR="0055282E" w:rsidRPr="00573701">
        <w:rPr>
          <w:rFonts w:asciiTheme="majorHAnsi" w:hAnsiTheme="majorHAnsi" w:cstheme="majorHAnsi"/>
          <w:sz w:val="24"/>
          <w:szCs w:val="24"/>
        </w:rPr>
        <w:t xml:space="preserve">complicate </w:t>
      </w:r>
      <w:r w:rsidRPr="00573701">
        <w:rPr>
          <w:rFonts w:asciiTheme="majorHAnsi" w:hAnsiTheme="majorHAnsi" w:cstheme="majorHAnsi"/>
          <w:sz w:val="24"/>
          <w:szCs w:val="24"/>
        </w:rPr>
        <w:t>the implementation of the new legislations and restrict competitiveness in the real estate industry.</w:t>
      </w:r>
      <w:r w:rsidR="00153939" w:rsidRPr="00573701">
        <w:rPr>
          <w:rFonts w:asciiTheme="majorHAnsi" w:hAnsiTheme="majorHAnsi" w:cstheme="majorHAnsi"/>
          <w:sz w:val="24"/>
          <w:szCs w:val="24"/>
        </w:rPr>
        <w:t xml:space="preserve"> </w:t>
      </w:r>
    </w:p>
    <w:p w:rsidR="00573701" w:rsidRPr="00573701" w:rsidRDefault="00573701" w:rsidP="00573701">
      <w:pPr>
        <w:tabs>
          <w:tab w:val="left" w:pos="6390"/>
          <w:tab w:val="left" w:pos="7740"/>
          <w:tab w:val="left" w:pos="7830"/>
        </w:tabs>
        <w:spacing w:after="0" w:line="240" w:lineRule="auto"/>
        <w:ind w:left="-90"/>
        <w:jc w:val="both"/>
        <w:rPr>
          <w:rFonts w:asciiTheme="majorHAnsi" w:hAnsiTheme="majorHAnsi" w:cstheme="majorHAnsi"/>
          <w:sz w:val="24"/>
          <w:szCs w:val="24"/>
        </w:rPr>
      </w:pPr>
    </w:p>
    <w:p w:rsidR="00C549F9" w:rsidRDefault="00C549F9" w:rsidP="00573701">
      <w:pPr>
        <w:tabs>
          <w:tab w:val="left" w:pos="6390"/>
          <w:tab w:val="left" w:pos="7740"/>
          <w:tab w:val="left" w:pos="7830"/>
        </w:tabs>
        <w:spacing w:after="0" w:line="240" w:lineRule="auto"/>
        <w:ind w:left="-90"/>
        <w:jc w:val="both"/>
        <w:rPr>
          <w:rFonts w:asciiTheme="majorHAnsi" w:hAnsiTheme="majorHAnsi" w:cstheme="majorHAnsi"/>
          <w:sz w:val="24"/>
          <w:szCs w:val="24"/>
        </w:rPr>
      </w:pPr>
      <w:r w:rsidRPr="00573701">
        <w:rPr>
          <w:rFonts w:asciiTheme="majorHAnsi" w:hAnsiTheme="majorHAnsi" w:cstheme="majorHAnsi"/>
          <w:sz w:val="24"/>
          <w:szCs w:val="24"/>
        </w:rPr>
        <w:t xml:space="preserve">In light of the VBF </w:t>
      </w:r>
      <w:r w:rsidR="00A524B8" w:rsidRPr="00573701">
        <w:rPr>
          <w:rFonts w:asciiTheme="majorHAnsi" w:hAnsiTheme="majorHAnsi" w:cstheme="majorHAnsi"/>
          <w:sz w:val="24"/>
          <w:szCs w:val="24"/>
        </w:rPr>
        <w:t>Annual</w:t>
      </w:r>
      <w:r w:rsidR="004C60D3" w:rsidRPr="00573701">
        <w:rPr>
          <w:rFonts w:asciiTheme="majorHAnsi" w:hAnsiTheme="majorHAnsi" w:cstheme="majorHAnsi"/>
          <w:sz w:val="24"/>
          <w:szCs w:val="24"/>
        </w:rPr>
        <w:t xml:space="preserve"> </w:t>
      </w:r>
      <w:r w:rsidRPr="00573701">
        <w:rPr>
          <w:rFonts w:asciiTheme="majorHAnsi" w:hAnsiTheme="majorHAnsi" w:cstheme="majorHAnsi"/>
          <w:sz w:val="24"/>
          <w:szCs w:val="24"/>
        </w:rPr>
        <w:t xml:space="preserve">Meeting 2017 </w:t>
      </w:r>
      <w:r w:rsidR="00C42F3A" w:rsidRPr="00573701">
        <w:rPr>
          <w:rFonts w:asciiTheme="majorHAnsi" w:hAnsiTheme="majorHAnsi" w:cstheme="majorHAnsi"/>
          <w:sz w:val="24"/>
          <w:szCs w:val="24"/>
        </w:rPr>
        <w:t>organized</w:t>
      </w:r>
      <w:r w:rsidRPr="00573701">
        <w:rPr>
          <w:rFonts w:asciiTheme="majorHAnsi" w:hAnsiTheme="majorHAnsi" w:cstheme="majorHAnsi"/>
          <w:sz w:val="24"/>
          <w:szCs w:val="24"/>
        </w:rPr>
        <w:t xml:space="preserve"> by the Vietnam Business Forum, we would like to highlight the</w:t>
      </w:r>
      <w:r w:rsidR="00153939" w:rsidRPr="00573701">
        <w:rPr>
          <w:rFonts w:asciiTheme="majorHAnsi" w:hAnsiTheme="majorHAnsi" w:cstheme="majorHAnsi"/>
          <w:sz w:val="24"/>
          <w:szCs w:val="24"/>
        </w:rPr>
        <w:t xml:space="preserve"> </w:t>
      </w:r>
      <w:r w:rsidRPr="00573701">
        <w:rPr>
          <w:rFonts w:asciiTheme="majorHAnsi" w:hAnsiTheme="majorHAnsi" w:cstheme="majorHAnsi"/>
          <w:sz w:val="24"/>
          <w:szCs w:val="24"/>
        </w:rPr>
        <w:t xml:space="preserve">issues in respect of the implementation of the relevant laws and our recommendations to address such issues. </w:t>
      </w:r>
    </w:p>
    <w:p w:rsidR="00573701" w:rsidRPr="00573701" w:rsidRDefault="00573701" w:rsidP="00573701">
      <w:pPr>
        <w:tabs>
          <w:tab w:val="left" w:pos="6390"/>
          <w:tab w:val="left" w:pos="7740"/>
          <w:tab w:val="left" w:pos="7830"/>
        </w:tabs>
        <w:spacing w:after="0" w:line="240" w:lineRule="auto"/>
        <w:ind w:left="-90"/>
        <w:jc w:val="both"/>
        <w:rPr>
          <w:rFonts w:asciiTheme="majorHAnsi" w:hAnsiTheme="majorHAnsi" w:cstheme="majorHAnsi"/>
          <w:sz w:val="24"/>
          <w:szCs w:val="24"/>
        </w:rPr>
      </w:pPr>
    </w:p>
    <w:p w:rsidR="005B10CE" w:rsidRPr="00573701" w:rsidRDefault="005B10CE" w:rsidP="00573701">
      <w:pPr>
        <w:pStyle w:val="ListParagraph"/>
        <w:numPr>
          <w:ilvl w:val="0"/>
          <w:numId w:val="6"/>
        </w:numPr>
        <w:tabs>
          <w:tab w:val="left" w:pos="6390"/>
          <w:tab w:val="left" w:pos="7740"/>
          <w:tab w:val="left" w:pos="7830"/>
        </w:tabs>
        <w:spacing w:after="0" w:line="240" w:lineRule="auto"/>
        <w:ind w:left="360" w:hanging="450"/>
        <w:jc w:val="both"/>
        <w:rPr>
          <w:rFonts w:asciiTheme="majorHAnsi" w:hAnsiTheme="majorHAnsi" w:cstheme="majorHAnsi"/>
          <w:b/>
          <w:sz w:val="24"/>
          <w:szCs w:val="24"/>
          <w:lang w:val="en-GB"/>
        </w:rPr>
      </w:pPr>
      <w:r w:rsidRPr="00573701">
        <w:rPr>
          <w:rFonts w:asciiTheme="majorHAnsi" w:hAnsiTheme="majorHAnsi" w:cstheme="majorHAnsi"/>
          <w:b/>
          <w:sz w:val="24"/>
          <w:szCs w:val="24"/>
        </w:rPr>
        <w:t>ISSUES</w:t>
      </w:r>
    </w:p>
    <w:p w:rsidR="00573701" w:rsidRPr="00573701" w:rsidRDefault="00573701" w:rsidP="00573701">
      <w:pPr>
        <w:pStyle w:val="ListParagraph"/>
        <w:tabs>
          <w:tab w:val="left" w:pos="6390"/>
          <w:tab w:val="left" w:pos="7740"/>
          <w:tab w:val="left" w:pos="7830"/>
        </w:tabs>
        <w:spacing w:after="0" w:line="240" w:lineRule="auto"/>
        <w:ind w:left="360"/>
        <w:jc w:val="both"/>
        <w:rPr>
          <w:rFonts w:asciiTheme="majorHAnsi" w:hAnsiTheme="majorHAnsi" w:cstheme="majorHAnsi"/>
          <w:b/>
          <w:sz w:val="24"/>
          <w:szCs w:val="24"/>
          <w:lang w:val="en-GB"/>
        </w:rPr>
      </w:pPr>
    </w:p>
    <w:p w:rsidR="00B3408D" w:rsidRPr="00573701" w:rsidRDefault="00B3408D" w:rsidP="00573701">
      <w:pPr>
        <w:pStyle w:val="ListParagraph"/>
        <w:numPr>
          <w:ilvl w:val="0"/>
          <w:numId w:val="1"/>
        </w:numPr>
        <w:tabs>
          <w:tab w:val="left" w:pos="6390"/>
          <w:tab w:val="left" w:pos="7740"/>
          <w:tab w:val="left" w:pos="7830"/>
        </w:tabs>
        <w:spacing w:after="0" w:line="240" w:lineRule="auto"/>
        <w:ind w:hanging="450"/>
        <w:contextualSpacing w:val="0"/>
        <w:jc w:val="both"/>
        <w:rPr>
          <w:rFonts w:asciiTheme="majorHAnsi" w:hAnsiTheme="majorHAnsi" w:cstheme="majorHAnsi"/>
          <w:b/>
          <w:bCs/>
          <w:sz w:val="24"/>
          <w:szCs w:val="24"/>
          <w:lang w:val="en-GB"/>
        </w:rPr>
      </w:pPr>
      <w:r w:rsidRPr="00573701">
        <w:rPr>
          <w:rFonts w:asciiTheme="majorHAnsi" w:hAnsiTheme="majorHAnsi" w:cstheme="majorHAnsi"/>
          <w:b/>
          <w:bCs/>
          <w:sz w:val="24"/>
          <w:szCs w:val="24"/>
          <w:lang w:val="en-GB"/>
        </w:rPr>
        <w:t>Delay in issuance of land use right certificate (“LURC”) for foreigners</w:t>
      </w:r>
    </w:p>
    <w:p w:rsidR="00573701" w:rsidRPr="00573701" w:rsidRDefault="00573701" w:rsidP="00573701">
      <w:pPr>
        <w:pStyle w:val="ListParagraph"/>
        <w:tabs>
          <w:tab w:val="left" w:pos="6390"/>
          <w:tab w:val="left" w:pos="7740"/>
          <w:tab w:val="left" w:pos="7830"/>
        </w:tabs>
        <w:spacing w:after="0" w:line="240" w:lineRule="auto"/>
        <w:ind w:left="360"/>
        <w:contextualSpacing w:val="0"/>
        <w:jc w:val="both"/>
        <w:rPr>
          <w:rFonts w:asciiTheme="majorHAnsi" w:hAnsiTheme="majorHAnsi" w:cstheme="majorHAnsi"/>
          <w:b/>
          <w:bCs/>
          <w:sz w:val="24"/>
          <w:szCs w:val="24"/>
          <w:u w:val="single"/>
          <w:lang w:val="en-GB"/>
        </w:rPr>
      </w:pPr>
    </w:p>
    <w:p w:rsidR="00326348" w:rsidRDefault="00361F1E" w:rsidP="00326348">
      <w:pPr>
        <w:tabs>
          <w:tab w:val="left" w:pos="6390"/>
          <w:tab w:val="left" w:pos="7740"/>
          <w:tab w:val="left" w:pos="7830"/>
        </w:tabs>
        <w:spacing w:after="0" w:line="240" w:lineRule="auto"/>
        <w:ind w:left="-90"/>
        <w:jc w:val="both"/>
        <w:rPr>
          <w:rFonts w:asciiTheme="majorHAnsi" w:hAnsiTheme="majorHAnsi" w:cstheme="majorHAnsi"/>
          <w:sz w:val="24"/>
          <w:szCs w:val="24"/>
        </w:rPr>
      </w:pPr>
      <w:r w:rsidRPr="00326348">
        <w:rPr>
          <w:rFonts w:asciiTheme="majorHAnsi" w:hAnsiTheme="majorHAnsi" w:cstheme="majorHAnsi"/>
          <w:sz w:val="24"/>
          <w:szCs w:val="24"/>
        </w:rPr>
        <w:t xml:space="preserve">The </w:t>
      </w:r>
      <w:r w:rsidRPr="00573701">
        <w:rPr>
          <w:rFonts w:asciiTheme="majorHAnsi" w:hAnsiTheme="majorHAnsi" w:cstheme="majorHAnsi"/>
          <w:sz w:val="24"/>
          <w:szCs w:val="24"/>
        </w:rPr>
        <w:t xml:space="preserve">first issue </w:t>
      </w:r>
      <w:r w:rsidR="00C27F00" w:rsidRPr="00573701">
        <w:rPr>
          <w:rFonts w:asciiTheme="majorHAnsi" w:hAnsiTheme="majorHAnsi" w:cstheme="majorHAnsi"/>
          <w:sz w:val="24"/>
          <w:szCs w:val="24"/>
        </w:rPr>
        <w:t>relates to delay</w:t>
      </w:r>
      <w:r w:rsidR="008D73EB" w:rsidRPr="00573701">
        <w:rPr>
          <w:rFonts w:asciiTheme="majorHAnsi" w:hAnsiTheme="majorHAnsi" w:cstheme="majorHAnsi"/>
          <w:sz w:val="24"/>
          <w:szCs w:val="24"/>
        </w:rPr>
        <w:t>s</w:t>
      </w:r>
      <w:r w:rsidR="00C27F00" w:rsidRPr="00573701">
        <w:rPr>
          <w:rFonts w:asciiTheme="majorHAnsi" w:hAnsiTheme="majorHAnsi" w:cstheme="majorHAnsi"/>
          <w:sz w:val="24"/>
          <w:szCs w:val="24"/>
        </w:rPr>
        <w:t xml:space="preserve"> in fulfilling the </w:t>
      </w:r>
      <w:r w:rsidR="00E85449" w:rsidRPr="00326348">
        <w:rPr>
          <w:rFonts w:asciiTheme="majorHAnsi" w:hAnsiTheme="majorHAnsi" w:cstheme="majorHAnsi"/>
          <w:sz w:val="24"/>
          <w:szCs w:val="24"/>
        </w:rPr>
        <w:t>implementation steps</w:t>
      </w:r>
      <w:r w:rsidRPr="00573701">
        <w:rPr>
          <w:rFonts w:asciiTheme="majorHAnsi" w:hAnsiTheme="majorHAnsi" w:cstheme="majorHAnsi"/>
          <w:sz w:val="24"/>
          <w:szCs w:val="24"/>
        </w:rPr>
        <w:t xml:space="preserve"> </w:t>
      </w:r>
      <w:r w:rsidR="008D73EB" w:rsidRPr="00573701">
        <w:rPr>
          <w:rFonts w:asciiTheme="majorHAnsi" w:hAnsiTheme="majorHAnsi" w:cstheme="majorHAnsi"/>
          <w:sz w:val="24"/>
          <w:szCs w:val="24"/>
        </w:rPr>
        <w:t xml:space="preserve">thereby </w:t>
      </w:r>
      <w:r w:rsidR="00826342" w:rsidRPr="00573701">
        <w:rPr>
          <w:rFonts w:asciiTheme="majorHAnsi" w:hAnsiTheme="majorHAnsi" w:cstheme="majorHAnsi"/>
          <w:sz w:val="24"/>
          <w:szCs w:val="24"/>
        </w:rPr>
        <w:t>affecting the</w:t>
      </w:r>
      <w:r w:rsidRPr="00573701">
        <w:rPr>
          <w:rFonts w:asciiTheme="majorHAnsi" w:hAnsiTheme="majorHAnsi" w:cstheme="majorHAnsi"/>
          <w:sz w:val="24"/>
          <w:szCs w:val="24"/>
        </w:rPr>
        <w:t xml:space="preserve"> issuance</w:t>
      </w:r>
      <w:r w:rsidR="00BC6E78" w:rsidRPr="00573701">
        <w:rPr>
          <w:rFonts w:asciiTheme="majorHAnsi" w:hAnsiTheme="majorHAnsi" w:cstheme="majorHAnsi"/>
          <w:sz w:val="24"/>
          <w:szCs w:val="24"/>
        </w:rPr>
        <w:t xml:space="preserve"> of</w:t>
      </w:r>
      <w:r w:rsidRPr="00573701">
        <w:rPr>
          <w:rFonts w:asciiTheme="majorHAnsi" w:hAnsiTheme="majorHAnsi" w:cstheme="majorHAnsi"/>
          <w:sz w:val="24"/>
          <w:szCs w:val="24"/>
        </w:rPr>
        <w:t xml:space="preserve"> </w:t>
      </w:r>
      <w:r w:rsidR="00153939" w:rsidRPr="00573701">
        <w:rPr>
          <w:rFonts w:asciiTheme="majorHAnsi" w:hAnsiTheme="majorHAnsi" w:cstheme="majorHAnsi"/>
          <w:sz w:val="24"/>
          <w:szCs w:val="24"/>
        </w:rPr>
        <w:t>LURC</w:t>
      </w:r>
      <w:r w:rsidRPr="00573701">
        <w:rPr>
          <w:rFonts w:asciiTheme="majorHAnsi" w:hAnsiTheme="majorHAnsi" w:cstheme="majorHAnsi"/>
          <w:sz w:val="24"/>
          <w:szCs w:val="24"/>
        </w:rPr>
        <w:t xml:space="preserve"> for foreigners</w:t>
      </w:r>
      <w:r w:rsidR="00153939" w:rsidRPr="00573701">
        <w:rPr>
          <w:rFonts w:asciiTheme="majorHAnsi" w:hAnsiTheme="majorHAnsi" w:cstheme="majorHAnsi"/>
          <w:sz w:val="24"/>
          <w:szCs w:val="24"/>
        </w:rPr>
        <w:t xml:space="preserve"> purchasing residential housing in Vietnam</w:t>
      </w:r>
      <w:r w:rsidRPr="00573701">
        <w:rPr>
          <w:rFonts w:asciiTheme="majorHAnsi" w:hAnsiTheme="majorHAnsi" w:cstheme="majorHAnsi"/>
          <w:sz w:val="24"/>
          <w:szCs w:val="24"/>
        </w:rPr>
        <w:t xml:space="preserve">. </w:t>
      </w:r>
    </w:p>
    <w:p w:rsidR="00326348" w:rsidRDefault="00326348" w:rsidP="00326348">
      <w:pPr>
        <w:tabs>
          <w:tab w:val="left" w:pos="6390"/>
          <w:tab w:val="left" w:pos="7740"/>
          <w:tab w:val="left" w:pos="7830"/>
        </w:tabs>
        <w:spacing w:after="0" w:line="240" w:lineRule="auto"/>
        <w:ind w:left="-90"/>
        <w:jc w:val="both"/>
        <w:rPr>
          <w:rFonts w:asciiTheme="majorHAnsi" w:hAnsiTheme="majorHAnsi" w:cstheme="majorHAnsi"/>
          <w:sz w:val="24"/>
          <w:szCs w:val="24"/>
        </w:rPr>
      </w:pPr>
    </w:p>
    <w:p w:rsidR="00361F1E" w:rsidRPr="00326348" w:rsidRDefault="00361F1E" w:rsidP="00326348">
      <w:pPr>
        <w:tabs>
          <w:tab w:val="left" w:pos="6390"/>
          <w:tab w:val="left" w:pos="7740"/>
          <w:tab w:val="left" w:pos="7830"/>
        </w:tabs>
        <w:spacing w:after="0" w:line="240" w:lineRule="auto"/>
        <w:ind w:left="-90"/>
        <w:jc w:val="both"/>
        <w:rPr>
          <w:rFonts w:asciiTheme="majorHAnsi" w:hAnsiTheme="majorHAnsi" w:cstheme="majorHAnsi"/>
          <w:sz w:val="24"/>
          <w:szCs w:val="24"/>
        </w:rPr>
      </w:pPr>
      <w:r w:rsidRPr="00573701">
        <w:rPr>
          <w:rFonts w:asciiTheme="majorHAnsi" w:hAnsiTheme="majorHAnsi" w:cstheme="majorHAnsi"/>
          <w:sz w:val="24"/>
          <w:szCs w:val="24"/>
          <w:lang w:val="en-GB"/>
        </w:rPr>
        <w:t>Under Article 75 of Decree 99</w:t>
      </w:r>
      <w:r w:rsidR="00F16C4F" w:rsidRPr="00573701">
        <w:rPr>
          <w:rFonts w:asciiTheme="majorHAnsi" w:hAnsiTheme="majorHAnsi" w:cstheme="majorHAnsi"/>
          <w:sz w:val="24"/>
          <w:szCs w:val="24"/>
          <w:lang w:val="en-GB"/>
        </w:rPr>
        <w:t>/2015</w:t>
      </w:r>
      <w:r w:rsidRPr="00573701">
        <w:rPr>
          <w:rFonts w:asciiTheme="majorHAnsi" w:hAnsiTheme="majorHAnsi" w:cstheme="majorHAnsi"/>
          <w:sz w:val="24"/>
          <w:szCs w:val="24"/>
          <w:lang w:val="en-GB"/>
        </w:rPr>
        <w:t xml:space="preserve">, the Ministry of Defence and the Ministry of Public Security must send a written notice on the areas required for national defence and security in each locality to the relevant provincial People's Committee. The provincial People’s Committee will then instruct the provincial Department of Construction to issue a list of residential housing developments where </w:t>
      </w:r>
      <w:r w:rsidR="00BB5366" w:rsidRPr="00573701">
        <w:rPr>
          <w:rFonts w:asciiTheme="majorHAnsi" w:hAnsiTheme="majorHAnsi" w:cstheme="majorHAnsi"/>
          <w:sz w:val="24"/>
          <w:szCs w:val="24"/>
          <w:lang w:val="en-GB"/>
        </w:rPr>
        <w:t>foreign ownership</w:t>
      </w:r>
      <w:r w:rsidR="003801B9" w:rsidRPr="00573701">
        <w:rPr>
          <w:rFonts w:asciiTheme="majorHAnsi" w:hAnsiTheme="majorHAnsi" w:cstheme="majorHAnsi"/>
          <w:sz w:val="24"/>
          <w:szCs w:val="24"/>
          <w:lang w:val="en-GB"/>
        </w:rPr>
        <w:t xml:space="preserve"> of residential housing</w:t>
      </w:r>
      <w:r w:rsidR="00BB5366" w:rsidRPr="00573701">
        <w:rPr>
          <w:rFonts w:asciiTheme="majorHAnsi" w:hAnsiTheme="majorHAnsi" w:cstheme="majorHAnsi"/>
          <w:sz w:val="24"/>
          <w:szCs w:val="24"/>
          <w:lang w:val="en-GB"/>
        </w:rPr>
        <w:t xml:space="preserve"> is prohibited</w:t>
      </w:r>
      <w:r w:rsidRPr="00573701">
        <w:rPr>
          <w:rFonts w:asciiTheme="majorHAnsi" w:hAnsiTheme="majorHAnsi" w:cstheme="majorHAnsi"/>
          <w:sz w:val="24"/>
          <w:szCs w:val="24"/>
          <w:lang w:val="en-GB"/>
        </w:rPr>
        <w:t xml:space="preserve"> (“</w:t>
      </w:r>
      <w:r w:rsidRPr="00573701">
        <w:rPr>
          <w:rFonts w:asciiTheme="majorHAnsi" w:hAnsiTheme="majorHAnsi" w:cstheme="majorHAnsi"/>
          <w:b/>
          <w:bCs/>
          <w:sz w:val="24"/>
          <w:szCs w:val="24"/>
          <w:lang w:val="en-GB"/>
        </w:rPr>
        <w:t>Foreign Ownership Prohibited Projects List</w:t>
      </w:r>
      <w:r w:rsidRPr="00573701">
        <w:rPr>
          <w:rFonts w:asciiTheme="majorHAnsi" w:hAnsiTheme="majorHAnsi" w:cstheme="majorHAnsi"/>
          <w:sz w:val="24"/>
          <w:szCs w:val="24"/>
          <w:lang w:val="en-GB"/>
        </w:rPr>
        <w:t>”).</w:t>
      </w:r>
    </w:p>
    <w:p w:rsidR="00573701" w:rsidRDefault="00573701" w:rsidP="00573701">
      <w:pPr>
        <w:tabs>
          <w:tab w:val="left" w:pos="1170"/>
          <w:tab w:val="left" w:pos="6390"/>
          <w:tab w:val="left" w:pos="7740"/>
          <w:tab w:val="left" w:pos="7830"/>
        </w:tabs>
        <w:spacing w:after="0" w:line="240" w:lineRule="auto"/>
        <w:jc w:val="both"/>
        <w:rPr>
          <w:rFonts w:asciiTheme="majorHAnsi" w:hAnsiTheme="majorHAnsi" w:cstheme="majorHAnsi"/>
          <w:sz w:val="24"/>
          <w:szCs w:val="24"/>
          <w:lang w:val="en-GB"/>
        </w:rPr>
      </w:pPr>
    </w:p>
    <w:p w:rsidR="00A07125" w:rsidRDefault="000E36B0" w:rsidP="00A07125">
      <w:pPr>
        <w:tabs>
          <w:tab w:val="left" w:pos="6390"/>
          <w:tab w:val="left" w:pos="7740"/>
          <w:tab w:val="left" w:pos="7830"/>
        </w:tabs>
        <w:spacing w:after="0" w:line="240" w:lineRule="auto"/>
        <w:ind w:left="-90"/>
        <w:jc w:val="both"/>
        <w:rPr>
          <w:rFonts w:asciiTheme="majorHAnsi" w:hAnsiTheme="majorHAnsi" w:cstheme="majorHAnsi"/>
          <w:sz w:val="24"/>
          <w:szCs w:val="24"/>
        </w:rPr>
      </w:pPr>
      <w:r w:rsidRPr="00326348">
        <w:rPr>
          <w:rFonts w:asciiTheme="majorHAnsi" w:hAnsiTheme="majorHAnsi" w:cstheme="majorHAnsi"/>
          <w:sz w:val="24"/>
          <w:szCs w:val="24"/>
        </w:rPr>
        <w:t>A</w:t>
      </w:r>
      <w:r w:rsidR="004C60D3" w:rsidRPr="00326348">
        <w:rPr>
          <w:rFonts w:asciiTheme="majorHAnsi" w:hAnsiTheme="majorHAnsi" w:cstheme="majorHAnsi"/>
          <w:sz w:val="24"/>
          <w:szCs w:val="24"/>
        </w:rPr>
        <w:t xml:space="preserve">s </w:t>
      </w:r>
      <w:r w:rsidR="00361F1E" w:rsidRPr="00326348">
        <w:rPr>
          <w:rFonts w:asciiTheme="majorHAnsi" w:hAnsiTheme="majorHAnsi" w:cstheme="majorHAnsi"/>
          <w:sz w:val="24"/>
          <w:szCs w:val="24"/>
        </w:rPr>
        <w:t xml:space="preserve">far as we are aware, </w:t>
      </w:r>
      <w:r w:rsidR="00153939" w:rsidRPr="00326348">
        <w:rPr>
          <w:rFonts w:asciiTheme="majorHAnsi" w:hAnsiTheme="majorHAnsi" w:cstheme="majorHAnsi"/>
          <w:sz w:val="24"/>
          <w:szCs w:val="24"/>
        </w:rPr>
        <w:t>the provincial Department of Construction has not issued the</w:t>
      </w:r>
      <w:r w:rsidR="00361F1E" w:rsidRPr="00326348">
        <w:rPr>
          <w:rFonts w:asciiTheme="majorHAnsi" w:hAnsiTheme="majorHAnsi" w:cstheme="majorHAnsi"/>
          <w:sz w:val="24"/>
          <w:szCs w:val="24"/>
        </w:rPr>
        <w:t xml:space="preserve"> Foreign Ownership Prohibited </w:t>
      </w:r>
      <w:r w:rsidR="00153939" w:rsidRPr="00326348">
        <w:rPr>
          <w:rFonts w:asciiTheme="majorHAnsi" w:hAnsiTheme="majorHAnsi" w:cstheme="majorHAnsi"/>
          <w:sz w:val="24"/>
          <w:szCs w:val="24"/>
        </w:rPr>
        <w:t xml:space="preserve">Projects List. </w:t>
      </w:r>
      <w:r w:rsidR="00ED4CE0" w:rsidRPr="00326348">
        <w:rPr>
          <w:rFonts w:asciiTheme="majorHAnsi" w:hAnsiTheme="majorHAnsi" w:cstheme="majorHAnsi"/>
          <w:sz w:val="24"/>
          <w:szCs w:val="24"/>
        </w:rPr>
        <w:t xml:space="preserve">It is unclear at the moment what is holding back the issuance of </w:t>
      </w:r>
      <w:r w:rsidR="00E85449" w:rsidRPr="00326348">
        <w:rPr>
          <w:rFonts w:asciiTheme="majorHAnsi" w:hAnsiTheme="majorHAnsi" w:cstheme="majorHAnsi"/>
          <w:sz w:val="24"/>
          <w:szCs w:val="24"/>
        </w:rPr>
        <w:t>such</w:t>
      </w:r>
      <w:r w:rsidR="00ED4CE0" w:rsidRPr="00326348">
        <w:rPr>
          <w:rFonts w:asciiTheme="majorHAnsi" w:hAnsiTheme="majorHAnsi" w:cstheme="majorHAnsi"/>
          <w:sz w:val="24"/>
          <w:szCs w:val="24"/>
        </w:rPr>
        <w:t xml:space="preserve"> list. </w:t>
      </w:r>
      <w:r w:rsidR="00372CD1" w:rsidRPr="00326348">
        <w:rPr>
          <w:rFonts w:asciiTheme="majorHAnsi" w:hAnsiTheme="majorHAnsi" w:cstheme="majorHAnsi"/>
          <w:sz w:val="24"/>
          <w:szCs w:val="24"/>
        </w:rPr>
        <w:t xml:space="preserve">Due to the </w:t>
      </w:r>
      <w:r w:rsidR="003801B9" w:rsidRPr="00326348">
        <w:rPr>
          <w:rFonts w:asciiTheme="majorHAnsi" w:hAnsiTheme="majorHAnsi" w:cstheme="majorHAnsi"/>
          <w:sz w:val="24"/>
          <w:szCs w:val="24"/>
        </w:rPr>
        <w:t xml:space="preserve">delay in issuance of </w:t>
      </w:r>
      <w:r w:rsidR="00BB5366" w:rsidRPr="00326348">
        <w:rPr>
          <w:rFonts w:asciiTheme="majorHAnsi" w:hAnsiTheme="majorHAnsi" w:cstheme="majorHAnsi"/>
          <w:sz w:val="24"/>
          <w:szCs w:val="24"/>
        </w:rPr>
        <w:t xml:space="preserve">the </w:t>
      </w:r>
      <w:r w:rsidR="00372CD1" w:rsidRPr="00326348">
        <w:rPr>
          <w:rFonts w:asciiTheme="majorHAnsi" w:hAnsiTheme="majorHAnsi" w:cstheme="majorHAnsi"/>
          <w:sz w:val="24"/>
          <w:szCs w:val="24"/>
        </w:rPr>
        <w:t>Foreign Ownership Prohibited Projects List,</w:t>
      </w:r>
      <w:r w:rsidR="00361F1E" w:rsidRPr="00326348">
        <w:rPr>
          <w:rFonts w:asciiTheme="majorHAnsi" w:hAnsiTheme="majorHAnsi" w:cstheme="majorHAnsi"/>
          <w:sz w:val="24"/>
          <w:szCs w:val="24"/>
        </w:rPr>
        <w:t xml:space="preserve"> the provincial Department of Natural</w:t>
      </w:r>
      <w:r w:rsidR="00372CD1" w:rsidRPr="00326348">
        <w:rPr>
          <w:rFonts w:asciiTheme="majorHAnsi" w:hAnsiTheme="majorHAnsi" w:cstheme="majorHAnsi"/>
          <w:sz w:val="24"/>
          <w:szCs w:val="24"/>
        </w:rPr>
        <w:t xml:space="preserve"> Resources and Environment</w:t>
      </w:r>
      <w:r w:rsidR="00361F1E" w:rsidRPr="00326348">
        <w:rPr>
          <w:rFonts w:asciiTheme="majorHAnsi" w:hAnsiTheme="majorHAnsi" w:cstheme="majorHAnsi"/>
          <w:sz w:val="24"/>
          <w:szCs w:val="24"/>
        </w:rPr>
        <w:t xml:space="preserve"> </w:t>
      </w:r>
      <w:r w:rsidR="003801B9" w:rsidRPr="00326348">
        <w:rPr>
          <w:rFonts w:asciiTheme="majorHAnsi" w:hAnsiTheme="majorHAnsi" w:cstheme="majorHAnsi"/>
          <w:sz w:val="24"/>
          <w:szCs w:val="24"/>
        </w:rPr>
        <w:t xml:space="preserve">is refraining from </w:t>
      </w:r>
      <w:r w:rsidR="00CF42B4" w:rsidRPr="00326348">
        <w:rPr>
          <w:rFonts w:asciiTheme="majorHAnsi" w:hAnsiTheme="majorHAnsi" w:cstheme="majorHAnsi"/>
          <w:sz w:val="24"/>
          <w:szCs w:val="24"/>
        </w:rPr>
        <w:t>issu</w:t>
      </w:r>
      <w:r w:rsidR="003801B9" w:rsidRPr="00326348">
        <w:rPr>
          <w:rFonts w:asciiTheme="majorHAnsi" w:hAnsiTheme="majorHAnsi" w:cstheme="majorHAnsi"/>
          <w:sz w:val="24"/>
          <w:szCs w:val="24"/>
        </w:rPr>
        <w:t>ing</w:t>
      </w:r>
      <w:r w:rsidR="00361F1E" w:rsidRPr="00326348">
        <w:rPr>
          <w:rFonts w:asciiTheme="majorHAnsi" w:hAnsiTheme="majorHAnsi" w:cstheme="majorHAnsi"/>
          <w:sz w:val="24"/>
          <w:szCs w:val="24"/>
        </w:rPr>
        <w:t xml:space="preserve"> LURCs </w:t>
      </w:r>
      <w:r w:rsidR="003801B9" w:rsidRPr="00326348">
        <w:rPr>
          <w:rFonts w:asciiTheme="majorHAnsi" w:hAnsiTheme="majorHAnsi" w:cstheme="majorHAnsi"/>
          <w:sz w:val="24"/>
          <w:szCs w:val="24"/>
        </w:rPr>
        <w:t xml:space="preserve">to </w:t>
      </w:r>
      <w:r w:rsidR="00361F1E" w:rsidRPr="00326348">
        <w:rPr>
          <w:rFonts w:asciiTheme="majorHAnsi" w:hAnsiTheme="majorHAnsi" w:cstheme="majorHAnsi"/>
          <w:sz w:val="24"/>
          <w:szCs w:val="24"/>
        </w:rPr>
        <w:t>foreigners who</w:t>
      </w:r>
      <w:r w:rsidR="003801B9" w:rsidRPr="00326348">
        <w:rPr>
          <w:rFonts w:asciiTheme="majorHAnsi" w:hAnsiTheme="majorHAnsi" w:cstheme="majorHAnsi"/>
          <w:sz w:val="24"/>
          <w:szCs w:val="24"/>
        </w:rPr>
        <w:t xml:space="preserve"> have</w:t>
      </w:r>
      <w:r w:rsidR="00361F1E" w:rsidRPr="00326348">
        <w:rPr>
          <w:rFonts w:asciiTheme="majorHAnsi" w:hAnsiTheme="majorHAnsi" w:cstheme="majorHAnsi"/>
          <w:sz w:val="24"/>
          <w:szCs w:val="24"/>
        </w:rPr>
        <w:t xml:space="preserve"> signed residen</w:t>
      </w:r>
      <w:r w:rsidR="00B34766" w:rsidRPr="00326348">
        <w:rPr>
          <w:rFonts w:asciiTheme="majorHAnsi" w:hAnsiTheme="majorHAnsi" w:cstheme="majorHAnsi"/>
          <w:sz w:val="24"/>
          <w:szCs w:val="24"/>
        </w:rPr>
        <w:t xml:space="preserve">tial housing purchase contracts. </w:t>
      </w:r>
      <w:r w:rsidR="00AC7D71" w:rsidRPr="00326348">
        <w:rPr>
          <w:rFonts w:asciiTheme="majorHAnsi" w:hAnsiTheme="majorHAnsi" w:cstheme="majorHAnsi"/>
          <w:sz w:val="24"/>
          <w:szCs w:val="24"/>
        </w:rPr>
        <w:t xml:space="preserve">This issue was highlighted on the Midterm VBF on 16 June 2017. However, until now, there is little progress on issuance of such list. </w:t>
      </w:r>
      <w:r w:rsidR="00361F1E" w:rsidRPr="00326348">
        <w:rPr>
          <w:rFonts w:asciiTheme="majorHAnsi" w:hAnsiTheme="majorHAnsi" w:cstheme="majorHAnsi"/>
          <w:sz w:val="24"/>
          <w:szCs w:val="24"/>
        </w:rPr>
        <w:t xml:space="preserve">This delay has caused confusion for </w:t>
      </w:r>
      <w:r w:rsidR="00BB5366" w:rsidRPr="00326348">
        <w:rPr>
          <w:rFonts w:asciiTheme="majorHAnsi" w:hAnsiTheme="majorHAnsi" w:cstheme="majorHAnsi"/>
          <w:sz w:val="24"/>
          <w:szCs w:val="24"/>
        </w:rPr>
        <w:t xml:space="preserve">foreign </w:t>
      </w:r>
      <w:r w:rsidR="00CF42B4" w:rsidRPr="00326348">
        <w:rPr>
          <w:rFonts w:asciiTheme="majorHAnsi" w:hAnsiTheme="majorHAnsi" w:cstheme="majorHAnsi"/>
          <w:sz w:val="24"/>
          <w:szCs w:val="24"/>
        </w:rPr>
        <w:t>buyers and developers</w:t>
      </w:r>
      <w:r w:rsidR="00361F1E" w:rsidRPr="00326348">
        <w:rPr>
          <w:rFonts w:asciiTheme="majorHAnsi" w:hAnsiTheme="majorHAnsi" w:cstheme="majorHAnsi"/>
          <w:sz w:val="24"/>
          <w:szCs w:val="24"/>
        </w:rPr>
        <w:t xml:space="preserve"> in terms of investment in the Vietnamese real estate market. </w:t>
      </w:r>
    </w:p>
    <w:p w:rsidR="00A07125" w:rsidRDefault="00A07125" w:rsidP="00A07125">
      <w:pPr>
        <w:tabs>
          <w:tab w:val="left" w:pos="6390"/>
          <w:tab w:val="left" w:pos="7740"/>
          <w:tab w:val="left" w:pos="7830"/>
        </w:tabs>
        <w:spacing w:after="0" w:line="240" w:lineRule="auto"/>
        <w:ind w:left="-90"/>
        <w:jc w:val="both"/>
        <w:rPr>
          <w:rFonts w:asciiTheme="majorHAnsi" w:hAnsiTheme="majorHAnsi" w:cstheme="majorHAnsi"/>
          <w:sz w:val="24"/>
          <w:szCs w:val="24"/>
        </w:rPr>
      </w:pPr>
    </w:p>
    <w:p w:rsidR="00573701" w:rsidRPr="00A07125" w:rsidRDefault="00573701" w:rsidP="00A07125">
      <w:pPr>
        <w:tabs>
          <w:tab w:val="left" w:pos="6390"/>
          <w:tab w:val="left" w:pos="7740"/>
          <w:tab w:val="left" w:pos="7830"/>
        </w:tabs>
        <w:spacing w:after="0" w:line="240" w:lineRule="auto"/>
        <w:ind w:left="-90"/>
        <w:jc w:val="both"/>
        <w:rPr>
          <w:rFonts w:asciiTheme="majorHAnsi" w:hAnsiTheme="majorHAnsi" w:cstheme="majorHAnsi"/>
          <w:sz w:val="24"/>
          <w:szCs w:val="24"/>
        </w:rPr>
      </w:pPr>
      <w:r w:rsidRPr="00326348">
        <w:rPr>
          <w:rFonts w:asciiTheme="majorHAnsi" w:hAnsiTheme="majorHAnsi" w:cstheme="majorHAnsi"/>
          <w:b/>
          <w:bCs/>
          <w:i/>
          <w:sz w:val="24"/>
          <w:szCs w:val="24"/>
          <w:lang w:val="en-GB"/>
        </w:rPr>
        <w:t>Recommendations:</w:t>
      </w:r>
    </w:p>
    <w:p w:rsidR="00361F1E" w:rsidRPr="00326348" w:rsidRDefault="00372CD1" w:rsidP="00326348">
      <w:pPr>
        <w:tabs>
          <w:tab w:val="left" w:pos="6390"/>
          <w:tab w:val="left" w:pos="7740"/>
          <w:tab w:val="left" w:pos="7830"/>
        </w:tabs>
        <w:spacing w:after="0" w:line="240" w:lineRule="auto"/>
        <w:ind w:left="-90"/>
        <w:jc w:val="both"/>
        <w:rPr>
          <w:rFonts w:asciiTheme="majorHAnsi" w:hAnsiTheme="majorHAnsi" w:cstheme="majorHAnsi"/>
          <w:sz w:val="24"/>
          <w:szCs w:val="24"/>
        </w:rPr>
      </w:pPr>
      <w:r w:rsidRPr="00326348">
        <w:rPr>
          <w:rFonts w:asciiTheme="majorHAnsi" w:hAnsiTheme="majorHAnsi" w:cstheme="majorHAnsi"/>
          <w:sz w:val="24"/>
          <w:szCs w:val="24"/>
        </w:rPr>
        <w:t>W</w:t>
      </w:r>
      <w:r w:rsidR="00361F1E" w:rsidRPr="00326348">
        <w:rPr>
          <w:rFonts w:asciiTheme="majorHAnsi" w:hAnsiTheme="majorHAnsi" w:cstheme="majorHAnsi"/>
          <w:sz w:val="24"/>
          <w:szCs w:val="24"/>
        </w:rPr>
        <w:t>e propose that the Foreign Ownership Prohibited Projects List</w:t>
      </w:r>
      <w:r w:rsidRPr="00326348">
        <w:rPr>
          <w:rFonts w:asciiTheme="majorHAnsi" w:hAnsiTheme="majorHAnsi" w:cstheme="majorHAnsi"/>
          <w:sz w:val="24"/>
          <w:szCs w:val="24"/>
        </w:rPr>
        <w:t xml:space="preserve"> be issued </w:t>
      </w:r>
      <w:r w:rsidR="00361F1E" w:rsidRPr="00326348">
        <w:rPr>
          <w:rFonts w:asciiTheme="majorHAnsi" w:hAnsiTheme="majorHAnsi" w:cstheme="majorHAnsi"/>
          <w:sz w:val="24"/>
          <w:szCs w:val="24"/>
        </w:rPr>
        <w:t>as soon as practicable</w:t>
      </w:r>
      <w:r w:rsidRPr="00326348">
        <w:rPr>
          <w:rFonts w:asciiTheme="majorHAnsi" w:hAnsiTheme="majorHAnsi" w:cstheme="majorHAnsi"/>
          <w:sz w:val="24"/>
          <w:szCs w:val="24"/>
        </w:rPr>
        <w:t xml:space="preserve"> so that the foreigners purchasing residential housing in Vietnam can obtain the LURCs in their name</w:t>
      </w:r>
      <w:r w:rsidR="00361F1E" w:rsidRPr="00326348">
        <w:rPr>
          <w:rFonts w:asciiTheme="majorHAnsi" w:hAnsiTheme="majorHAnsi" w:cstheme="majorHAnsi"/>
          <w:sz w:val="24"/>
          <w:szCs w:val="24"/>
        </w:rPr>
        <w:t xml:space="preserve">. </w:t>
      </w:r>
    </w:p>
    <w:p w:rsidR="00573701" w:rsidRPr="00573701" w:rsidRDefault="00573701" w:rsidP="00573701">
      <w:pPr>
        <w:tabs>
          <w:tab w:val="left" w:pos="1170"/>
          <w:tab w:val="left" w:pos="6390"/>
          <w:tab w:val="left" w:pos="7740"/>
          <w:tab w:val="left" w:pos="7830"/>
        </w:tabs>
        <w:spacing w:after="0" w:line="240" w:lineRule="auto"/>
        <w:jc w:val="both"/>
        <w:rPr>
          <w:rFonts w:asciiTheme="majorHAnsi" w:hAnsiTheme="majorHAnsi" w:cstheme="majorHAnsi"/>
          <w:b/>
          <w:sz w:val="24"/>
          <w:szCs w:val="24"/>
          <w:lang w:val="en-GB"/>
        </w:rPr>
      </w:pPr>
    </w:p>
    <w:p w:rsidR="00326348" w:rsidRDefault="005B10CE" w:rsidP="00326348">
      <w:pPr>
        <w:pStyle w:val="ListParagraph"/>
        <w:numPr>
          <w:ilvl w:val="0"/>
          <w:numId w:val="1"/>
        </w:numPr>
        <w:tabs>
          <w:tab w:val="left" w:pos="6390"/>
          <w:tab w:val="left" w:pos="7740"/>
          <w:tab w:val="left" w:pos="7830"/>
        </w:tabs>
        <w:spacing w:after="0" w:line="240" w:lineRule="auto"/>
        <w:ind w:hanging="450"/>
        <w:contextualSpacing w:val="0"/>
        <w:jc w:val="both"/>
        <w:rPr>
          <w:rFonts w:asciiTheme="majorHAnsi" w:hAnsiTheme="majorHAnsi" w:cstheme="majorHAnsi"/>
          <w:b/>
          <w:bCs/>
          <w:sz w:val="24"/>
          <w:szCs w:val="24"/>
          <w:lang w:val="en-GB"/>
        </w:rPr>
      </w:pPr>
      <w:r w:rsidRPr="00573701">
        <w:rPr>
          <w:rFonts w:asciiTheme="majorHAnsi" w:hAnsiTheme="majorHAnsi" w:cstheme="majorHAnsi"/>
          <w:b/>
          <w:bCs/>
          <w:sz w:val="24"/>
          <w:szCs w:val="24"/>
          <w:lang w:val="en-GB"/>
        </w:rPr>
        <w:lastRenderedPageBreak/>
        <w:t xml:space="preserve">Definition of “foreign invested enterprise” </w:t>
      </w:r>
    </w:p>
    <w:p w:rsidR="00326348" w:rsidRDefault="00326348" w:rsidP="00326348">
      <w:pPr>
        <w:tabs>
          <w:tab w:val="left" w:pos="6390"/>
          <w:tab w:val="left" w:pos="7740"/>
          <w:tab w:val="left" w:pos="7830"/>
        </w:tabs>
        <w:spacing w:after="0" w:line="240" w:lineRule="auto"/>
        <w:ind w:left="-90"/>
        <w:jc w:val="both"/>
        <w:rPr>
          <w:rFonts w:asciiTheme="majorHAnsi" w:hAnsiTheme="majorHAnsi" w:cstheme="majorHAnsi"/>
          <w:sz w:val="24"/>
          <w:szCs w:val="24"/>
          <w:lang w:val="en-GB"/>
        </w:rPr>
      </w:pPr>
    </w:p>
    <w:p w:rsidR="003C5389" w:rsidRPr="00326348" w:rsidRDefault="00E6146E" w:rsidP="00326348">
      <w:pPr>
        <w:tabs>
          <w:tab w:val="left" w:pos="6390"/>
          <w:tab w:val="left" w:pos="7740"/>
          <w:tab w:val="left" w:pos="7830"/>
        </w:tabs>
        <w:spacing w:after="0" w:line="240" w:lineRule="auto"/>
        <w:ind w:left="-90"/>
        <w:jc w:val="both"/>
        <w:rPr>
          <w:rFonts w:asciiTheme="majorHAnsi" w:hAnsiTheme="majorHAnsi" w:cstheme="majorHAnsi"/>
          <w:b/>
          <w:bCs/>
          <w:sz w:val="24"/>
          <w:szCs w:val="24"/>
          <w:lang w:val="en-GB"/>
        </w:rPr>
      </w:pPr>
      <w:r w:rsidRPr="00326348">
        <w:rPr>
          <w:rFonts w:asciiTheme="majorHAnsi" w:hAnsiTheme="majorHAnsi" w:cstheme="majorHAnsi"/>
          <w:sz w:val="24"/>
          <w:szCs w:val="24"/>
          <w:lang w:val="en-GB"/>
        </w:rPr>
        <w:t>Secondly,</w:t>
      </w:r>
      <w:r w:rsidRPr="00326348">
        <w:rPr>
          <w:rFonts w:asciiTheme="majorHAnsi" w:hAnsiTheme="majorHAnsi" w:cstheme="majorHAnsi"/>
          <w:sz w:val="24"/>
          <w:szCs w:val="24"/>
        </w:rPr>
        <w:t xml:space="preserve"> </w:t>
      </w:r>
      <w:r w:rsidR="003C5389" w:rsidRPr="00326348">
        <w:rPr>
          <w:rFonts w:asciiTheme="majorHAnsi" w:hAnsiTheme="majorHAnsi" w:cstheme="majorHAnsi"/>
          <w:sz w:val="24"/>
          <w:szCs w:val="24"/>
          <w:lang w:val="en-GB"/>
        </w:rPr>
        <w:t>there are uncertainties about the</w:t>
      </w:r>
      <w:r w:rsidR="003C5389" w:rsidRPr="00326348">
        <w:rPr>
          <w:rFonts w:asciiTheme="majorHAnsi" w:hAnsiTheme="majorHAnsi" w:cstheme="majorHAnsi"/>
          <w:sz w:val="24"/>
          <w:szCs w:val="24"/>
        </w:rPr>
        <w:t xml:space="preserve"> understanding of</w:t>
      </w:r>
      <w:r w:rsidR="003C5389" w:rsidRPr="00326348">
        <w:rPr>
          <w:rFonts w:asciiTheme="majorHAnsi" w:hAnsiTheme="majorHAnsi" w:cstheme="majorHAnsi"/>
          <w:sz w:val="24"/>
          <w:szCs w:val="24"/>
          <w:lang w:val="en-GB"/>
        </w:rPr>
        <w:t xml:space="preserve"> “foreign invested enterprise” </w:t>
      </w:r>
      <w:r w:rsidR="00BB5366" w:rsidRPr="00326348">
        <w:rPr>
          <w:rFonts w:asciiTheme="majorHAnsi" w:hAnsiTheme="majorHAnsi" w:cstheme="majorHAnsi"/>
          <w:sz w:val="24"/>
          <w:szCs w:val="24"/>
          <w:lang w:val="en-GB"/>
        </w:rPr>
        <w:t>among</w:t>
      </w:r>
      <w:r w:rsidR="003C5389" w:rsidRPr="00326348">
        <w:rPr>
          <w:rFonts w:asciiTheme="majorHAnsi" w:hAnsiTheme="majorHAnsi" w:cstheme="majorHAnsi"/>
          <w:sz w:val="24"/>
          <w:szCs w:val="24"/>
          <w:lang w:val="en-GB"/>
        </w:rPr>
        <w:t xml:space="preserve"> </w:t>
      </w:r>
      <w:r w:rsidR="00372CD1" w:rsidRPr="00326348">
        <w:rPr>
          <w:rFonts w:asciiTheme="majorHAnsi" w:hAnsiTheme="majorHAnsi" w:cstheme="majorHAnsi"/>
          <w:sz w:val="24"/>
          <w:szCs w:val="24"/>
          <w:lang w:val="en-GB"/>
        </w:rPr>
        <w:t xml:space="preserve">the </w:t>
      </w:r>
      <w:r w:rsidR="003C5389" w:rsidRPr="00326348">
        <w:rPr>
          <w:rFonts w:asciiTheme="majorHAnsi" w:hAnsiTheme="majorHAnsi" w:cstheme="majorHAnsi"/>
          <w:sz w:val="24"/>
          <w:szCs w:val="24"/>
          <w:lang w:val="en-GB"/>
        </w:rPr>
        <w:t>LREB</w:t>
      </w:r>
      <w:r w:rsidR="00BB5366" w:rsidRPr="00326348">
        <w:rPr>
          <w:rFonts w:asciiTheme="majorHAnsi" w:hAnsiTheme="majorHAnsi" w:cstheme="majorHAnsi"/>
          <w:sz w:val="24"/>
          <w:szCs w:val="24"/>
          <w:lang w:val="en-GB"/>
        </w:rPr>
        <w:t>,</w:t>
      </w:r>
      <w:r w:rsidR="003C5389" w:rsidRPr="00326348">
        <w:rPr>
          <w:rFonts w:asciiTheme="majorHAnsi" w:hAnsiTheme="majorHAnsi" w:cstheme="majorHAnsi"/>
          <w:sz w:val="24"/>
          <w:szCs w:val="24"/>
          <w:lang w:val="en-GB"/>
        </w:rPr>
        <w:t xml:space="preserve"> </w:t>
      </w:r>
      <w:r w:rsidR="00372CD1" w:rsidRPr="00326348">
        <w:rPr>
          <w:rFonts w:asciiTheme="majorHAnsi" w:hAnsiTheme="majorHAnsi" w:cstheme="majorHAnsi"/>
          <w:sz w:val="24"/>
          <w:szCs w:val="24"/>
          <w:lang w:val="en-GB"/>
        </w:rPr>
        <w:t>the</w:t>
      </w:r>
      <w:r w:rsidR="003C5389" w:rsidRPr="00326348">
        <w:rPr>
          <w:rFonts w:asciiTheme="majorHAnsi" w:hAnsiTheme="majorHAnsi" w:cstheme="majorHAnsi"/>
          <w:sz w:val="24"/>
          <w:szCs w:val="24"/>
          <w:lang w:val="en-GB"/>
        </w:rPr>
        <w:t xml:space="preserve"> Land Law</w:t>
      </w:r>
      <w:r w:rsidR="00BB5366" w:rsidRPr="00326348">
        <w:rPr>
          <w:rFonts w:asciiTheme="majorHAnsi" w:hAnsiTheme="majorHAnsi" w:cstheme="majorHAnsi"/>
          <w:sz w:val="24"/>
          <w:szCs w:val="24"/>
          <w:lang w:val="en-GB"/>
        </w:rPr>
        <w:t>, and the current Law on Investment 2014 (“</w:t>
      </w:r>
      <w:r w:rsidR="00BB5366" w:rsidRPr="00326348">
        <w:rPr>
          <w:rFonts w:asciiTheme="majorHAnsi" w:hAnsiTheme="majorHAnsi" w:cstheme="majorHAnsi"/>
          <w:b/>
          <w:sz w:val="24"/>
          <w:szCs w:val="24"/>
          <w:lang w:val="en-GB"/>
        </w:rPr>
        <w:t>LOI</w:t>
      </w:r>
      <w:r w:rsidR="00BB5366" w:rsidRPr="00326348">
        <w:rPr>
          <w:rFonts w:asciiTheme="majorHAnsi" w:hAnsiTheme="majorHAnsi" w:cstheme="majorHAnsi"/>
          <w:sz w:val="24"/>
          <w:szCs w:val="24"/>
          <w:lang w:val="en-GB"/>
        </w:rPr>
        <w:t>”)</w:t>
      </w:r>
      <w:r w:rsidR="003C5389" w:rsidRPr="00326348">
        <w:rPr>
          <w:rFonts w:asciiTheme="majorHAnsi" w:hAnsiTheme="majorHAnsi" w:cstheme="majorHAnsi"/>
          <w:sz w:val="24"/>
          <w:szCs w:val="24"/>
          <w:lang w:val="en-GB"/>
        </w:rPr>
        <w:t xml:space="preserve">.  </w:t>
      </w:r>
    </w:p>
    <w:p w:rsidR="00573701" w:rsidRDefault="00573701" w:rsidP="00573701">
      <w:pPr>
        <w:tabs>
          <w:tab w:val="left" w:pos="1170"/>
          <w:tab w:val="left" w:pos="6390"/>
          <w:tab w:val="left" w:pos="7740"/>
          <w:tab w:val="left" w:pos="7830"/>
        </w:tabs>
        <w:spacing w:after="0" w:line="240" w:lineRule="auto"/>
        <w:jc w:val="both"/>
        <w:rPr>
          <w:rFonts w:asciiTheme="majorHAnsi" w:hAnsiTheme="majorHAnsi" w:cstheme="majorHAnsi"/>
          <w:sz w:val="24"/>
          <w:szCs w:val="24"/>
          <w:lang w:val="en-GB"/>
        </w:rPr>
      </w:pPr>
    </w:p>
    <w:p w:rsidR="003C5389" w:rsidRPr="00326348" w:rsidRDefault="003C5389" w:rsidP="00326348">
      <w:pPr>
        <w:tabs>
          <w:tab w:val="left" w:pos="6390"/>
          <w:tab w:val="left" w:pos="7740"/>
          <w:tab w:val="left" w:pos="7830"/>
        </w:tabs>
        <w:spacing w:after="0" w:line="240" w:lineRule="auto"/>
        <w:ind w:left="-90"/>
        <w:jc w:val="both"/>
        <w:rPr>
          <w:rFonts w:asciiTheme="majorHAnsi" w:hAnsiTheme="majorHAnsi" w:cstheme="majorHAnsi"/>
          <w:sz w:val="24"/>
          <w:szCs w:val="24"/>
        </w:rPr>
      </w:pPr>
      <w:r w:rsidRPr="00326348">
        <w:rPr>
          <w:rFonts w:asciiTheme="majorHAnsi" w:hAnsiTheme="majorHAnsi" w:cstheme="majorHAnsi"/>
          <w:sz w:val="24"/>
          <w:szCs w:val="24"/>
        </w:rPr>
        <w:t>Under the LREB and Decree 76</w:t>
      </w:r>
      <w:r w:rsidR="00F16C4F" w:rsidRPr="00326348">
        <w:rPr>
          <w:rFonts w:asciiTheme="majorHAnsi" w:hAnsiTheme="majorHAnsi" w:cstheme="majorHAnsi"/>
          <w:sz w:val="24"/>
          <w:szCs w:val="24"/>
        </w:rPr>
        <w:t>/2015</w:t>
      </w:r>
      <w:r w:rsidRPr="00326348">
        <w:rPr>
          <w:rFonts w:asciiTheme="majorHAnsi" w:hAnsiTheme="majorHAnsi" w:cstheme="majorHAnsi"/>
          <w:sz w:val="24"/>
          <w:szCs w:val="24"/>
        </w:rPr>
        <w:t xml:space="preserve">, </w:t>
      </w:r>
      <w:r w:rsidR="00D0700C" w:rsidRPr="00326348">
        <w:rPr>
          <w:rFonts w:asciiTheme="majorHAnsi" w:hAnsiTheme="majorHAnsi" w:cstheme="majorHAnsi"/>
          <w:sz w:val="24"/>
          <w:szCs w:val="24"/>
        </w:rPr>
        <w:t xml:space="preserve">no </w:t>
      </w:r>
      <w:r w:rsidR="00BC6E78" w:rsidRPr="00326348">
        <w:rPr>
          <w:rFonts w:asciiTheme="majorHAnsi" w:hAnsiTheme="majorHAnsi" w:cstheme="majorHAnsi"/>
          <w:sz w:val="24"/>
          <w:szCs w:val="24"/>
        </w:rPr>
        <w:t>definition of</w:t>
      </w:r>
      <w:r w:rsidRPr="00326348">
        <w:rPr>
          <w:rFonts w:asciiTheme="majorHAnsi" w:hAnsiTheme="majorHAnsi" w:cstheme="majorHAnsi"/>
          <w:sz w:val="24"/>
          <w:szCs w:val="24"/>
        </w:rPr>
        <w:t xml:space="preserve"> “foreign invested enterprise” </w:t>
      </w:r>
      <w:r w:rsidR="00AA5A93" w:rsidRPr="00326348">
        <w:rPr>
          <w:rFonts w:asciiTheme="majorHAnsi" w:hAnsiTheme="majorHAnsi" w:cstheme="majorHAnsi"/>
          <w:sz w:val="24"/>
          <w:szCs w:val="24"/>
        </w:rPr>
        <w:t>is</w:t>
      </w:r>
      <w:r w:rsidRPr="00326348">
        <w:rPr>
          <w:rFonts w:asciiTheme="majorHAnsi" w:hAnsiTheme="majorHAnsi" w:cstheme="majorHAnsi"/>
          <w:sz w:val="24"/>
          <w:szCs w:val="24"/>
        </w:rPr>
        <w:t xml:space="preserve"> </w:t>
      </w:r>
      <w:r w:rsidR="00CB3A8D" w:rsidRPr="00326348">
        <w:rPr>
          <w:rFonts w:asciiTheme="majorHAnsi" w:hAnsiTheme="majorHAnsi" w:cstheme="majorHAnsi"/>
          <w:sz w:val="24"/>
          <w:szCs w:val="24"/>
        </w:rPr>
        <w:t xml:space="preserve">currently </w:t>
      </w:r>
      <w:r w:rsidRPr="00326348">
        <w:rPr>
          <w:rFonts w:asciiTheme="majorHAnsi" w:hAnsiTheme="majorHAnsi" w:cstheme="majorHAnsi"/>
          <w:sz w:val="24"/>
          <w:szCs w:val="24"/>
        </w:rPr>
        <w:t xml:space="preserve">provided. Further, the Land Law provides that the foreign invested enterprise includes joint venture enterprises, </w:t>
      </w:r>
      <w:r w:rsidRPr="00573701">
        <w:rPr>
          <w:rFonts w:asciiTheme="majorHAnsi" w:hAnsiTheme="majorHAnsi" w:cstheme="majorHAnsi"/>
          <w:sz w:val="24"/>
          <w:szCs w:val="24"/>
        </w:rPr>
        <w:t xml:space="preserve">100% </w:t>
      </w:r>
      <w:r w:rsidRPr="00326348">
        <w:rPr>
          <w:rFonts w:asciiTheme="majorHAnsi" w:hAnsiTheme="majorHAnsi" w:cstheme="majorHAnsi"/>
          <w:sz w:val="24"/>
          <w:szCs w:val="24"/>
        </w:rPr>
        <w:t xml:space="preserve">foreign invested enterprises and Vietnamese enterprises which foreign investors purchase shares, merge </w:t>
      </w:r>
      <w:r w:rsidR="00CB3A8D" w:rsidRPr="00326348">
        <w:rPr>
          <w:rFonts w:asciiTheme="majorHAnsi" w:hAnsiTheme="majorHAnsi" w:cstheme="majorHAnsi"/>
          <w:sz w:val="24"/>
          <w:szCs w:val="24"/>
        </w:rPr>
        <w:t xml:space="preserve">with </w:t>
      </w:r>
      <w:r w:rsidRPr="00326348">
        <w:rPr>
          <w:rFonts w:asciiTheme="majorHAnsi" w:hAnsiTheme="majorHAnsi" w:cstheme="majorHAnsi"/>
          <w:sz w:val="24"/>
          <w:szCs w:val="24"/>
        </w:rPr>
        <w:t xml:space="preserve">or acquire under laws on investment with no specific guidance on foreign ownership percentage. Under the LOI, an economic </w:t>
      </w:r>
      <w:r w:rsidR="00C42F3A" w:rsidRPr="00326348">
        <w:rPr>
          <w:rFonts w:asciiTheme="majorHAnsi" w:hAnsiTheme="majorHAnsi" w:cstheme="majorHAnsi"/>
          <w:sz w:val="24"/>
          <w:szCs w:val="24"/>
        </w:rPr>
        <w:t>organization</w:t>
      </w:r>
      <w:r w:rsidRPr="00326348">
        <w:rPr>
          <w:rFonts w:asciiTheme="majorHAnsi" w:hAnsiTheme="majorHAnsi" w:cstheme="majorHAnsi"/>
          <w:sz w:val="24"/>
          <w:szCs w:val="24"/>
        </w:rPr>
        <w:t xml:space="preserve"> with foreign investment capital means an economic </w:t>
      </w:r>
      <w:r w:rsidR="00C42F3A" w:rsidRPr="00326348">
        <w:rPr>
          <w:rFonts w:asciiTheme="majorHAnsi" w:hAnsiTheme="majorHAnsi" w:cstheme="majorHAnsi"/>
          <w:sz w:val="24"/>
          <w:szCs w:val="24"/>
        </w:rPr>
        <w:t>organization</w:t>
      </w:r>
      <w:r w:rsidRPr="00326348">
        <w:rPr>
          <w:rFonts w:asciiTheme="majorHAnsi" w:hAnsiTheme="majorHAnsi" w:cstheme="majorHAnsi"/>
          <w:sz w:val="24"/>
          <w:szCs w:val="24"/>
        </w:rPr>
        <w:t xml:space="preserve"> with a foreign investor being a member or shareholder</w:t>
      </w:r>
      <w:r w:rsidR="00474306" w:rsidRPr="00326348">
        <w:rPr>
          <w:rFonts w:asciiTheme="majorHAnsi" w:hAnsiTheme="majorHAnsi" w:cstheme="majorHAnsi"/>
          <w:sz w:val="24"/>
          <w:szCs w:val="24"/>
        </w:rPr>
        <w:t xml:space="preserve">, and investment conditions and procedures shall be applied to enterprises with foreign ownership of 51% or more. </w:t>
      </w:r>
      <w:r w:rsidR="008027FE" w:rsidRPr="00326348">
        <w:rPr>
          <w:rFonts w:asciiTheme="majorHAnsi" w:hAnsiTheme="majorHAnsi" w:cstheme="majorHAnsi"/>
          <w:sz w:val="24"/>
          <w:szCs w:val="24"/>
        </w:rPr>
        <w:t>Based on the definition under the LOI, i</w:t>
      </w:r>
      <w:r w:rsidR="00474306" w:rsidRPr="00326348">
        <w:rPr>
          <w:rFonts w:asciiTheme="majorHAnsi" w:hAnsiTheme="majorHAnsi" w:cstheme="majorHAnsi"/>
          <w:sz w:val="24"/>
          <w:szCs w:val="24"/>
        </w:rPr>
        <w:t xml:space="preserve">t is </w:t>
      </w:r>
      <w:r w:rsidR="001224B1" w:rsidRPr="00326348">
        <w:rPr>
          <w:rFonts w:asciiTheme="majorHAnsi" w:hAnsiTheme="majorHAnsi" w:cstheme="majorHAnsi"/>
          <w:sz w:val="24"/>
          <w:szCs w:val="24"/>
        </w:rPr>
        <w:t>arguable that</w:t>
      </w:r>
      <w:r w:rsidR="00474306" w:rsidRPr="00326348">
        <w:rPr>
          <w:rFonts w:asciiTheme="majorHAnsi" w:hAnsiTheme="majorHAnsi" w:cstheme="majorHAnsi"/>
          <w:sz w:val="24"/>
          <w:szCs w:val="24"/>
        </w:rPr>
        <w:t xml:space="preserve"> enterprises with less than 51% foreign ownership can be treated as local investors</w:t>
      </w:r>
      <w:r w:rsidRPr="00326348">
        <w:rPr>
          <w:rFonts w:asciiTheme="majorHAnsi" w:hAnsiTheme="majorHAnsi" w:cstheme="majorHAnsi"/>
          <w:sz w:val="24"/>
          <w:szCs w:val="24"/>
        </w:rPr>
        <w:t>.</w:t>
      </w:r>
      <w:r w:rsidR="00153939" w:rsidRPr="00326348">
        <w:rPr>
          <w:rFonts w:asciiTheme="majorHAnsi" w:hAnsiTheme="majorHAnsi" w:cstheme="majorHAnsi"/>
          <w:sz w:val="24"/>
          <w:szCs w:val="24"/>
        </w:rPr>
        <w:t xml:space="preserve"> </w:t>
      </w:r>
      <w:r w:rsidR="001224B1" w:rsidRPr="00326348">
        <w:rPr>
          <w:rFonts w:asciiTheme="majorHAnsi" w:hAnsiTheme="majorHAnsi" w:cstheme="majorHAnsi"/>
          <w:sz w:val="24"/>
          <w:szCs w:val="24"/>
        </w:rPr>
        <w:t xml:space="preserve">In the absence of </w:t>
      </w:r>
      <w:r w:rsidR="003801B9" w:rsidRPr="00326348">
        <w:rPr>
          <w:rFonts w:asciiTheme="majorHAnsi" w:hAnsiTheme="majorHAnsi" w:cstheme="majorHAnsi"/>
          <w:sz w:val="24"/>
          <w:szCs w:val="24"/>
        </w:rPr>
        <w:t xml:space="preserve">a </w:t>
      </w:r>
      <w:r w:rsidRPr="00326348">
        <w:rPr>
          <w:rFonts w:asciiTheme="majorHAnsi" w:hAnsiTheme="majorHAnsi" w:cstheme="majorHAnsi"/>
          <w:sz w:val="24"/>
          <w:szCs w:val="24"/>
        </w:rPr>
        <w:t>definition</w:t>
      </w:r>
      <w:r w:rsidR="003801B9" w:rsidRPr="00326348">
        <w:rPr>
          <w:rFonts w:asciiTheme="majorHAnsi" w:hAnsiTheme="majorHAnsi" w:cstheme="majorHAnsi"/>
          <w:sz w:val="24"/>
          <w:szCs w:val="24"/>
        </w:rPr>
        <w:t xml:space="preserve"> for foreign invested enterprise</w:t>
      </w:r>
      <w:r w:rsidR="0039194F" w:rsidRPr="00326348">
        <w:rPr>
          <w:rFonts w:asciiTheme="majorHAnsi" w:hAnsiTheme="majorHAnsi" w:cstheme="majorHAnsi"/>
          <w:sz w:val="24"/>
          <w:szCs w:val="24"/>
        </w:rPr>
        <w:t>,</w:t>
      </w:r>
      <w:r w:rsidRPr="00326348">
        <w:rPr>
          <w:rFonts w:asciiTheme="majorHAnsi" w:hAnsiTheme="majorHAnsi" w:cstheme="majorHAnsi"/>
          <w:sz w:val="24"/>
          <w:szCs w:val="24"/>
        </w:rPr>
        <w:t xml:space="preserve"> </w:t>
      </w:r>
      <w:r w:rsidR="003801B9" w:rsidRPr="00326348">
        <w:rPr>
          <w:rFonts w:asciiTheme="majorHAnsi" w:hAnsiTheme="majorHAnsi" w:cstheme="majorHAnsi"/>
          <w:sz w:val="24"/>
          <w:szCs w:val="24"/>
        </w:rPr>
        <w:t xml:space="preserve">and since the Land Law was issued before the LOI and the Land Law does not provide for </w:t>
      </w:r>
      <w:r w:rsidR="005316CF" w:rsidRPr="00326348">
        <w:rPr>
          <w:rFonts w:asciiTheme="majorHAnsi" w:hAnsiTheme="majorHAnsi" w:cstheme="majorHAnsi"/>
          <w:sz w:val="24"/>
          <w:szCs w:val="24"/>
        </w:rPr>
        <w:t xml:space="preserve">specific foreign ownership percentage in </w:t>
      </w:r>
      <w:r w:rsidR="003801B9" w:rsidRPr="00326348">
        <w:rPr>
          <w:rFonts w:asciiTheme="majorHAnsi" w:hAnsiTheme="majorHAnsi" w:cstheme="majorHAnsi"/>
          <w:sz w:val="24"/>
          <w:szCs w:val="24"/>
        </w:rPr>
        <w:t xml:space="preserve">a foreign invested enterprise, </w:t>
      </w:r>
      <w:r w:rsidR="000D38D6" w:rsidRPr="00326348">
        <w:rPr>
          <w:rFonts w:asciiTheme="majorHAnsi" w:hAnsiTheme="majorHAnsi" w:cstheme="majorHAnsi"/>
          <w:sz w:val="24"/>
          <w:szCs w:val="24"/>
        </w:rPr>
        <w:t xml:space="preserve">it </w:t>
      </w:r>
      <w:r w:rsidR="005316CF" w:rsidRPr="00326348">
        <w:rPr>
          <w:rFonts w:asciiTheme="majorHAnsi" w:hAnsiTheme="majorHAnsi" w:cstheme="majorHAnsi"/>
          <w:sz w:val="24"/>
          <w:szCs w:val="24"/>
        </w:rPr>
        <w:t xml:space="preserve">is arguable </w:t>
      </w:r>
      <w:r w:rsidR="000D38D6" w:rsidRPr="00326348">
        <w:rPr>
          <w:rFonts w:asciiTheme="majorHAnsi" w:hAnsiTheme="majorHAnsi" w:cstheme="majorHAnsi"/>
          <w:sz w:val="24"/>
          <w:szCs w:val="24"/>
        </w:rPr>
        <w:t xml:space="preserve">that a </w:t>
      </w:r>
      <w:r w:rsidRPr="00326348">
        <w:rPr>
          <w:rFonts w:asciiTheme="majorHAnsi" w:hAnsiTheme="majorHAnsi" w:cstheme="majorHAnsi"/>
          <w:sz w:val="24"/>
          <w:szCs w:val="24"/>
        </w:rPr>
        <w:t xml:space="preserve">foreign invested enterprise under the LREB and </w:t>
      </w:r>
      <w:r w:rsidR="00BC6E78" w:rsidRPr="00326348">
        <w:rPr>
          <w:rFonts w:asciiTheme="majorHAnsi" w:hAnsiTheme="majorHAnsi" w:cstheme="majorHAnsi"/>
          <w:sz w:val="24"/>
          <w:szCs w:val="24"/>
        </w:rPr>
        <w:t>Decree 76</w:t>
      </w:r>
      <w:r w:rsidR="00F16C4F" w:rsidRPr="00326348">
        <w:rPr>
          <w:rFonts w:asciiTheme="majorHAnsi" w:hAnsiTheme="majorHAnsi" w:cstheme="majorHAnsi"/>
          <w:sz w:val="24"/>
          <w:szCs w:val="24"/>
        </w:rPr>
        <w:t>/2015</w:t>
      </w:r>
      <w:r w:rsidR="0039194F" w:rsidRPr="00326348">
        <w:rPr>
          <w:rFonts w:asciiTheme="majorHAnsi" w:hAnsiTheme="majorHAnsi" w:cstheme="majorHAnsi"/>
          <w:sz w:val="24"/>
          <w:szCs w:val="24"/>
        </w:rPr>
        <w:t xml:space="preserve"> </w:t>
      </w:r>
      <w:r w:rsidRPr="00326348">
        <w:rPr>
          <w:rFonts w:asciiTheme="majorHAnsi" w:hAnsiTheme="majorHAnsi" w:cstheme="majorHAnsi"/>
          <w:sz w:val="24"/>
          <w:szCs w:val="24"/>
        </w:rPr>
        <w:t xml:space="preserve">can be understood to </w:t>
      </w:r>
      <w:r w:rsidR="00F91F77" w:rsidRPr="00326348">
        <w:rPr>
          <w:rFonts w:asciiTheme="majorHAnsi" w:hAnsiTheme="majorHAnsi" w:cstheme="majorHAnsi"/>
          <w:sz w:val="24"/>
          <w:szCs w:val="24"/>
        </w:rPr>
        <w:t>be</w:t>
      </w:r>
      <w:r w:rsidRPr="00326348">
        <w:rPr>
          <w:rFonts w:asciiTheme="majorHAnsi" w:hAnsiTheme="majorHAnsi" w:cstheme="majorHAnsi"/>
          <w:sz w:val="24"/>
          <w:szCs w:val="24"/>
        </w:rPr>
        <w:t xml:space="preserve"> real estate </w:t>
      </w:r>
      <w:r w:rsidRPr="00573701">
        <w:rPr>
          <w:rFonts w:asciiTheme="majorHAnsi" w:hAnsiTheme="majorHAnsi" w:cstheme="majorHAnsi"/>
          <w:sz w:val="24"/>
          <w:szCs w:val="24"/>
        </w:rPr>
        <w:t>business</w:t>
      </w:r>
      <w:r w:rsidRPr="00326348">
        <w:rPr>
          <w:rFonts w:asciiTheme="majorHAnsi" w:hAnsiTheme="majorHAnsi" w:cstheme="majorHAnsi"/>
          <w:sz w:val="24"/>
          <w:szCs w:val="24"/>
        </w:rPr>
        <w:t xml:space="preserve"> enterprises with foreign shareholding of 51% or more. </w:t>
      </w:r>
    </w:p>
    <w:p w:rsidR="00573701" w:rsidRPr="00326348" w:rsidRDefault="00573701" w:rsidP="00326348">
      <w:pPr>
        <w:tabs>
          <w:tab w:val="left" w:pos="6390"/>
          <w:tab w:val="left" w:pos="7740"/>
          <w:tab w:val="left" w:pos="7830"/>
        </w:tabs>
        <w:spacing w:after="0" w:line="240" w:lineRule="auto"/>
        <w:ind w:left="-90"/>
        <w:jc w:val="both"/>
        <w:rPr>
          <w:rFonts w:asciiTheme="majorHAnsi" w:hAnsiTheme="majorHAnsi" w:cstheme="majorHAnsi"/>
          <w:sz w:val="24"/>
          <w:szCs w:val="24"/>
        </w:rPr>
      </w:pPr>
    </w:p>
    <w:p w:rsidR="00326348" w:rsidRDefault="003C5389" w:rsidP="00326348">
      <w:pPr>
        <w:tabs>
          <w:tab w:val="left" w:pos="6390"/>
          <w:tab w:val="left" w:pos="7740"/>
          <w:tab w:val="left" w:pos="7830"/>
        </w:tabs>
        <w:spacing w:after="0" w:line="240" w:lineRule="auto"/>
        <w:ind w:left="-90"/>
        <w:jc w:val="both"/>
        <w:rPr>
          <w:rFonts w:asciiTheme="majorHAnsi" w:hAnsiTheme="majorHAnsi" w:cstheme="majorHAnsi"/>
          <w:sz w:val="24"/>
          <w:szCs w:val="24"/>
        </w:rPr>
      </w:pPr>
      <w:r w:rsidRPr="00326348">
        <w:rPr>
          <w:rFonts w:asciiTheme="majorHAnsi" w:hAnsiTheme="majorHAnsi" w:cstheme="majorHAnsi"/>
          <w:sz w:val="24"/>
          <w:szCs w:val="24"/>
        </w:rPr>
        <w:t xml:space="preserve">Further, according to the LREB, </w:t>
      </w:r>
      <w:r w:rsidRPr="00573701">
        <w:rPr>
          <w:rFonts w:asciiTheme="majorHAnsi" w:hAnsiTheme="majorHAnsi" w:cstheme="majorHAnsi"/>
          <w:sz w:val="24"/>
          <w:szCs w:val="24"/>
        </w:rPr>
        <w:t xml:space="preserve">there is a clear difference in treatment between foreign invested and </w:t>
      </w:r>
      <w:r w:rsidR="00372CD1" w:rsidRPr="00573701">
        <w:rPr>
          <w:rFonts w:asciiTheme="majorHAnsi" w:hAnsiTheme="majorHAnsi" w:cstheme="majorHAnsi"/>
          <w:sz w:val="24"/>
          <w:szCs w:val="24"/>
        </w:rPr>
        <w:t>domestic enterprises in conducting real estate business</w:t>
      </w:r>
      <w:r w:rsidRPr="00573701">
        <w:rPr>
          <w:rFonts w:asciiTheme="majorHAnsi" w:hAnsiTheme="majorHAnsi" w:cstheme="majorHAnsi"/>
          <w:sz w:val="24"/>
          <w:szCs w:val="24"/>
        </w:rPr>
        <w:t xml:space="preserve"> such as (i) foreign </w:t>
      </w:r>
      <w:r w:rsidRPr="00326348">
        <w:rPr>
          <w:rFonts w:asciiTheme="majorHAnsi" w:hAnsiTheme="majorHAnsi" w:cstheme="majorHAnsi"/>
          <w:sz w:val="24"/>
          <w:szCs w:val="24"/>
        </w:rPr>
        <w:t>invested enterprise</w:t>
      </w:r>
      <w:r w:rsidRPr="00573701">
        <w:rPr>
          <w:rFonts w:asciiTheme="majorHAnsi" w:hAnsiTheme="majorHAnsi" w:cstheme="majorHAnsi"/>
          <w:sz w:val="24"/>
          <w:szCs w:val="24"/>
        </w:rPr>
        <w:t xml:space="preserve"> are not permitted to transfer the land use right in form of division of land into plots or purchase houses and buildings to sell, lease or offer a lease purchase</w:t>
      </w:r>
      <w:r w:rsidR="00CB3A8D" w:rsidRPr="00573701">
        <w:rPr>
          <w:rFonts w:asciiTheme="majorHAnsi" w:hAnsiTheme="majorHAnsi" w:cstheme="majorHAnsi"/>
          <w:sz w:val="24"/>
          <w:szCs w:val="24"/>
        </w:rPr>
        <w:t xml:space="preserve"> whereas domestic enterprises can do so;</w:t>
      </w:r>
      <w:r w:rsidRPr="00573701">
        <w:rPr>
          <w:rFonts w:asciiTheme="majorHAnsi" w:hAnsiTheme="majorHAnsi" w:cstheme="majorHAnsi"/>
          <w:sz w:val="24"/>
          <w:szCs w:val="24"/>
        </w:rPr>
        <w:t xml:space="preserve"> and (ii) </w:t>
      </w:r>
      <w:r w:rsidRPr="00326348">
        <w:rPr>
          <w:rFonts w:asciiTheme="majorHAnsi" w:hAnsiTheme="majorHAnsi" w:cstheme="majorHAnsi"/>
          <w:sz w:val="24"/>
          <w:szCs w:val="24"/>
        </w:rPr>
        <w:t xml:space="preserve">foreign invested enterprise </w:t>
      </w:r>
      <w:r w:rsidRPr="00573701">
        <w:rPr>
          <w:rFonts w:asciiTheme="majorHAnsi" w:hAnsiTheme="majorHAnsi" w:cstheme="majorHAnsi"/>
          <w:sz w:val="24"/>
          <w:szCs w:val="24"/>
        </w:rPr>
        <w:t>are permitted to collect up to only 50% of the value of the contract for sale and purchase or lease-purchase of real estate to be formed in the future whereas the applicable percentage to domestic enterprises is 70%.</w:t>
      </w:r>
    </w:p>
    <w:p w:rsidR="00326348" w:rsidRDefault="00326348" w:rsidP="00326348">
      <w:pPr>
        <w:tabs>
          <w:tab w:val="left" w:pos="6390"/>
          <w:tab w:val="left" w:pos="7740"/>
          <w:tab w:val="left" w:pos="7830"/>
        </w:tabs>
        <w:spacing w:after="0" w:line="240" w:lineRule="auto"/>
        <w:ind w:left="-90"/>
        <w:jc w:val="both"/>
        <w:rPr>
          <w:rFonts w:asciiTheme="majorHAnsi" w:hAnsiTheme="majorHAnsi" w:cstheme="majorHAnsi"/>
          <w:sz w:val="24"/>
          <w:szCs w:val="24"/>
        </w:rPr>
      </w:pPr>
    </w:p>
    <w:p w:rsidR="00326348" w:rsidRDefault="00F16C4F" w:rsidP="00326348">
      <w:pPr>
        <w:tabs>
          <w:tab w:val="left" w:pos="6390"/>
          <w:tab w:val="left" w:pos="7740"/>
          <w:tab w:val="left" w:pos="7830"/>
        </w:tabs>
        <w:spacing w:after="0" w:line="240" w:lineRule="auto"/>
        <w:ind w:left="-90"/>
        <w:jc w:val="both"/>
        <w:rPr>
          <w:rFonts w:asciiTheme="majorHAnsi" w:hAnsiTheme="majorHAnsi" w:cstheme="majorHAnsi"/>
          <w:sz w:val="24"/>
          <w:szCs w:val="24"/>
        </w:rPr>
      </w:pPr>
      <w:r w:rsidRPr="00573701">
        <w:rPr>
          <w:rFonts w:asciiTheme="majorHAnsi" w:hAnsiTheme="majorHAnsi" w:cstheme="majorHAnsi"/>
          <w:sz w:val="24"/>
          <w:szCs w:val="24"/>
          <w:lang w:val="en-GB"/>
        </w:rPr>
        <w:t>D</w:t>
      </w:r>
      <w:proofErr w:type="spellStart"/>
      <w:r w:rsidR="009256B8" w:rsidRPr="00573701">
        <w:rPr>
          <w:rFonts w:asciiTheme="majorHAnsi" w:hAnsiTheme="majorHAnsi" w:cstheme="majorHAnsi"/>
          <w:sz w:val="24"/>
          <w:szCs w:val="24"/>
        </w:rPr>
        <w:t>ocument</w:t>
      </w:r>
      <w:proofErr w:type="spellEnd"/>
      <w:r w:rsidR="009256B8" w:rsidRPr="00573701">
        <w:rPr>
          <w:rFonts w:asciiTheme="majorHAnsi" w:hAnsiTheme="majorHAnsi" w:cstheme="majorHAnsi"/>
          <w:sz w:val="24"/>
          <w:szCs w:val="24"/>
        </w:rPr>
        <w:t xml:space="preserve"> No. 386/BXD-QLN dated 28 February 2017</w:t>
      </w:r>
      <w:r w:rsidR="00F30366" w:rsidRPr="00573701">
        <w:rPr>
          <w:rFonts w:asciiTheme="majorHAnsi" w:hAnsiTheme="majorHAnsi" w:cstheme="majorHAnsi"/>
          <w:sz w:val="24"/>
          <w:szCs w:val="24"/>
        </w:rPr>
        <w:t xml:space="preserve"> (“</w:t>
      </w:r>
      <w:r w:rsidR="00F30366" w:rsidRPr="00573701">
        <w:rPr>
          <w:rFonts w:asciiTheme="majorHAnsi" w:hAnsiTheme="majorHAnsi" w:cstheme="majorHAnsi"/>
          <w:b/>
          <w:sz w:val="24"/>
          <w:szCs w:val="24"/>
        </w:rPr>
        <w:t>Document 386</w:t>
      </w:r>
      <w:r w:rsidR="00F30366" w:rsidRPr="00573701">
        <w:rPr>
          <w:rFonts w:asciiTheme="majorHAnsi" w:hAnsiTheme="majorHAnsi" w:cstheme="majorHAnsi"/>
          <w:sz w:val="24"/>
          <w:szCs w:val="24"/>
        </w:rPr>
        <w:t>”)</w:t>
      </w:r>
      <w:r w:rsidR="009256B8" w:rsidRPr="00573701">
        <w:rPr>
          <w:rFonts w:asciiTheme="majorHAnsi" w:hAnsiTheme="majorHAnsi" w:cstheme="majorHAnsi"/>
          <w:sz w:val="24"/>
          <w:szCs w:val="24"/>
        </w:rPr>
        <w:t xml:space="preserve"> issued by the Ministry of Construction (“</w:t>
      </w:r>
      <w:r w:rsidR="009256B8" w:rsidRPr="00573701">
        <w:rPr>
          <w:rFonts w:asciiTheme="majorHAnsi" w:hAnsiTheme="majorHAnsi" w:cstheme="majorHAnsi"/>
          <w:b/>
          <w:sz w:val="24"/>
          <w:szCs w:val="24"/>
        </w:rPr>
        <w:t>MOC</w:t>
      </w:r>
      <w:r w:rsidR="009256B8" w:rsidRPr="00573701">
        <w:rPr>
          <w:rFonts w:asciiTheme="majorHAnsi" w:hAnsiTheme="majorHAnsi" w:cstheme="majorHAnsi"/>
          <w:sz w:val="24"/>
          <w:szCs w:val="24"/>
        </w:rPr>
        <w:t>”)</w:t>
      </w:r>
      <w:r w:rsidRPr="00573701">
        <w:rPr>
          <w:rFonts w:asciiTheme="majorHAnsi" w:hAnsiTheme="majorHAnsi" w:cstheme="majorHAnsi"/>
          <w:sz w:val="24"/>
          <w:szCs w:val="24"/>
        </w:rPr>
        <w:t xml:space="preserve"> states that</w:t>
      </w:r>
      <w:r w:rsidR="009256B8" w:rsidRPr="00573701">
        <w:rPr>
          <w:rFonts w:asciiTheme="majorHAnsi" w:hAnsiTheme="majorHAnsi" w:cstheme="majorHAnsi"/>
          <w:sz w:val="24"/>
          <w:szCs w:val="24"/>
        </w:rPr>
        <w:t xml:space="preserve"> it is not necessary for the LREB to provide the provisions relating to foreign invested enterprise as the LOI has already provided the same. However, </w:t>
      </w:r>
      <w:r w:rsidR="005316CF" w:rsidRPr="00573701">
        <w:rPr>
          <w:rFonts w:asciiTheme="majorHAnsi" w:hAnsiTheme="majorHAnsi" w:cstheme="majorHAnsi"/>
          <w:sz w:val="24"/>
          <w:szCs w:val="24"/>
        </w:rPr>
        <w:t>Document 386 did not expressly state that the LREB can adopt the same definition of foreign invested enterprise as under the LOI. Therefore</w:t>
      </w:r>
      <w:r w:rsidR="009256B8" w:rsidRPr="00573701">
        <w:rPr>
          <w:rFonts w:asciiTheme="majorHAnsi" w:hAnsiTheme="majorHAnsi" w:cstheme="majorHAnsi"/>
          <w:sz w:val="24"/>
          <w:szCs w:val="24"/>
        </w:rPr>
        <w:t xml:space="preserve">, </w:t>
      </w:r>
      <w:r w:rsidR="009256B8" w:rsidRPr="00573701">
        <w:rPr>
          <w:rFonts w:asciiTheme="majorHAnsi" w:hAnsiTheme="majorHAnsi" w:cstheme="majorHAnsi"/>
          <w:sz w:val="24"/>
          <w:szCs w:val="24"/>
          <w:lang w:val="en-GB"/>
        </w:rPr>
        <w:t xml:space="preserve">the </w:t>
      </w:r>
      <w:r w:rsidR="003C5389" w:rsidRPr="00573701">
        <w:rPr>
          <w:rFonts w:asciiTheme="majorHAnsi" w:hAnsiTheme="majorHAnsi" w:cstheme="majorHAnsi"/>
          <w:sz w:val="24"/>
          <w:szCs w:val="24"/>
          <w:lang w:val="en-GB"/>
        </w:rPr>
        <w:t>definition of “foreign invested enterprise”</w:t>
      </w:r>
      <w:r w:rsidR="009256B8" w:rsidRPr="00573701">
        <w:rPr>
          <w:rFonts w:asciiTheme="majorHAnsi" w:hAnsiTheme="majorHAnsi" w:cstheme="majorHAnsi"/>
          <w:sz w:val="24"/>
          <w:szCs w:val="24"/>
          <w:lang w:val="en-GB"/>
        </w:rPr>
        <w:t xml:space="preserve"> </w:t>
      </w:r>
      <w:r w:rsidR="005316CF" w:rsidRPr="00573701">
        <w:rPr>
          <w:rFonts w:asciiTheme="majorHAnsi" w:hAnsiTheme="majorHAnsi" w:cstheme="majorHAnsi"/>
          <w:sz w:val="24"/>
          <w:szCs w:val="24"/>
          <w:lang w:val="en-GB"/>
        </w:rPr>
        <w:t xml:space="preserve">is still ambiguous under the LREB, </w:t>
      </w:r>
      <w:r w:rsidR="009256B8" w:rsidRPr="00573701">
        <w:rPr>
          <w:rFonts w:asciiTheme="majorHAnsi" w:hAnsiTheme="majorHAnsi" w:cstheme="majorHAnsi"/>
          <w:sz w:val="24"/>
          <w:szCs w:val="24"/>
          <w:lang w:val="en-GB"/>
        </w:rPr>
        <w:t>which</w:t>
      </w:r>
      <w:r w:rsidR="00ED2D3E" w:rsidRPr="00573701">
        <w:rPr>
          <w:rFonts w:asciiTheme="majorHAnsi" w:hAnsiTheme="majorHAnsi" w:cstheme="majorHAnsi"/>
          <w:sz w:val="24"/>
          <w:szCs w:val="24"/>
          <w:lang w:val="en-GB"/>
        </w:rPr>
        <w:t xml:space="preserve"> is disruptive and</w:t>
      </w:r>
      <w:r w:rsidR="003C5389" w:rsidRPr="00573701">
        <w:rPr>
          <w:rFonts w:asciiTheme="majorHAnsi" w:hAnsiTheme="majorHAnsi" w:cstheme="majorHAnsi"/>
          <w:sz w:val="24"/>
          <w:szCs w:val="24"/>
          <w:lang w:val="en-GB"/>
        </w:rPr>
        <w:t xml:space="preserve"> </w:t>
      </w:r>
      <w:r w:rsidR="006D411E" w:rsidRPr="00573701">
        <w:rPr>
          <w:rFonts w:asciiTheme="majorHAnsi" w:hAnsiTheme="majorHAnsi" w:cstheme="majorHAnsi"/>
          <w:sz w:val="24"/>
          <w:szCs w:val="24"/>
          <w:lang w:val="en-GB"/>
        </w:rPr>
        <w:t xml:space="preserve">causes uncertainty in the </w:t>
      </w:r>
      <w:r w:rsidR="003C5389" w:rsidRPr="00573701">
        <w:rPr>
          <w:rFonts w:asciiTheme="majorHAnsi" w:hAnsiTheme="majorHAnsi" w:cstheme="majorHAnsi"/>
          <w:sz w:val="24"/>
          <w:szCs w:val="24"/>
          <w:lang w:val="en-GB"/>
        </w:rPr>
        <w:t xml:space="preserve">real estate </w:t>
      </w:r>
      <w:r w:rsidR="003C06CB" w:rsidRPr="00573701">
        <w:rPr>
          <w:rFonts w:asciiTheme="majorHAnsi" w:hAnsiTheme="majorHAnsi" w:cstheme="majorHAnsi"/>
          <w:sz w:val="24"/>
          <w:szCs w:val="24"/>
          <w:lang w:val="en-GB"/>
        </w:rPr>
        <w:t>sector</w:t>
      </w:r>
      <w:r w:rsidR="003C5389" w:rsidRPr="00573701">
        <w:rPr>
          <w:rFonts w:asciiTheme="majorHAnsi" w:hAnsiTheme="majorHAnsi" w:cstheme="majorHAnsi"/>
          <w:sz w:val="24"/>
          <w:szCs w:val="24"/>
          <w:lang w:val="en-GB"/>
        </w:rPr>
        <w:t xml:space="preserve">. </w:t>
      </w:r>
      <w:r w:rsidR="00E6146E" w:rsidRPr="00573701">
        <w:rPr>
          <w:rFonts w:asciiTheme="majorHAnsi" w:hAnsiTheme="majorHAnsi" w:cstheme="majorHAnsi"/>
          <w:sz w:val="24"/>
          <w:szCs w:val="24"/>
          <w:lang w:val="en-GB"/>
        </w:rPr>
        <w:t>Further, a</w:t>
      </w:r>
      <w:r w:rsidR="003C5389" w:rsidRPr="00573701">
        <w:rPr>
          <w:rFonts w:asciiTheme="majorHAnsi" w:hAnsiTheme="majorHAnsi" w:cstheme="majorHAnsi"/>
          <w:sz w:val="24"/>
          <w:szCs w:val="24"/>
          <w:lang w:val="en-GB"/>
        </w:rPr>
        <w:t xml:space="preserve">s there are restrictions between foreign invested enterprises and domestic enterprises, </w:t>
      </w:r>
      <w:r w:rsidR="005316CF" w:rsidRPr="00573701">
        <w:rPr>
          <w:rFonts w:asciiTheme="majorHAnsi" w:hAnsiTheme="majorHAnsi" w:cstheme="majorHAnsi"/>
          <w:sz w:val="24"/>
          <w:szCs w:val="24"/>
          <w:lang w:val="en-GB"/>
        </w:rPr>
        <w:t xml:space="preserve">it is important that </w:t>
      </w:r>
      <w:r w:rsidR="003C5389" w:rsidRPr="00573701">
        <w:rPr>
          <w:rFonts w:asciiTheme="majorHAnsi" w:hAnsiTheme="majorHAnsi" w:cstheme="majorHAnsi"/>
          <w:sz w:val="24"/>
          <w:szCs w:val="24"/>
          <w:lang w:val="en-GB"/>
        </w:rPr>
        <w:t>a clear definition</w:t>
      </w:r>
      <w:r w:rsidR="00ED2D3E" w:rsidRPr="00573701">
        <w:rPr>
          <w:rFonts w:asciiTheme="majorHAnsi" w:hAnsiTheme="majorHAnsi" w:cstheme="majorHAnsi"/>
          <w:sz w:val="24"/>
          <w:szCs w:val="24"/>
          <w:lang w:val="en-GB"/>
        </w:rPr>
        <w:t xml:space="preserve"> </w:t>
      </w:r>
      <w:r w:rsidR="005316CF" w:rsidRPr="00573701">
        <w:rPr>
          <w:rFonts w:asciiTheme="majorHAnsi" w:hAnsiTheme="majorHAnsi" w:cstheme="majorHAnsi"/>
          <w:sz w:val="24"/>
          <w:szCs w:val="24"/>
          <w:lang w:val="en-GB"/>
        </w:rPr>
        <w:t>be provided</w:t>
      </w:r>
      <w:r w:rsidR="003C5389" w:rsidRPr="00573701">
        <w:rPr>
          <w:rFonts w:asciiTheme="majorHAnsi" w:hAnsiTheme="majorHAnsi" w:cstheme="majorHAnsi"/>
          <w:sz w:val="24"/>
          <w:szCs w:val="24"/>
          <w:lang w:val="en-GB"/>
        </w:rPr>
        <w:t xml:space="preserve">. </w:t>
      </w:r>
    </w:p>
    <w:p w:rsidR="00326348" w:rsidRDefault="00326348" w:rsidP="00326348">
      <w:pPr>
        <w:tabs>
          <w:tab w:val="left" w:pos="6390"/>
          <w:tab w:val="left" w:pos="7740"/>
          <w:tab w:val="left" w:pos="7830"/>
        </w:tabs>
        <w:spacing w:after="0" w:line="240" w:lineRule="auto"/>
        <w:ind w:left="-90"/>
        <w:jc w:val="both"/>
        <w:rPr>
          <w:rFonts w:asciiTheme="majorHAnsi" w:hAnsiTheme="majorHAnsi" w:cstheme="majorHAnsi"/>
          <w:sz w:val="24"/>
          <w:szCs w:val="24"/>
        </w:rPr>
      </w:pPr>
    </w:p>
    <w:p w:rsidR="00326348" w:rsidRDefault="003C5389" w:rsidP="00326348">
      <w:pPr>
        <w:tabs>
          <w:tab w:val="left" w:pos="6390"/>
          <w:tab w:val="left" w:pos="7740"/>
          <w:tab w:val="left" w:pos="7830"/>
        </w:tabs>
        <w:spacing w:after="0" w:line="240" w:lineRule="auto"/>
        <w:ind w:left="-90"/>
        <w:jc w:val="both"/>
        <w:rPr>
          <w:rFonts w:asciiTheme="majorHAnsi" w:hAnsiTheme="majorHAnsi" w:cstheme="majorHAnsi"/>
          <w:b/>
          <w:i/>
          <w:sz w:val="24"/>
          <w:szCs w:val="24"/>
          <w:lang w:val="en-GB"/>
        </w:rPr>
      </w:pPr>
      <w:r w:rsidRPr="00326348">
        <w:rPr>
          <w:rFonts w:asciiTheme="majorHAnsi" w:hAnsiTheme="majorHAnsi" w:cstheme="majorHAnsi"/>
          <w:b/>
          <w:i/>
          <w:sz w:val="24"/>
          <w:szCs w:val="24"/>
          <w:lang w:val="en-GB"/>
        </w:rPr>
        <w:t>Recommendation</w:t>
      </w:r>
      <w:r w:rsidR="00326348" w:rsidRPr="00326348">
        <w:rPr>
          <w:rFonts w:asciiTheme="majorHAnsi" w:hAnsiTheme="majorHAnsi" w:cstheme="majorHAnsi"/>
          <w:b/>
          <w:i/>
          <w:sz w:val="24"/>
          <w:szCs w:val="24"/>
          <w:lang w:val="en-GB"/>
        </w:rPr>
        <w:t>s</w:t>
      </w:r>
      <w:r w:rsidRPr="00326348">
        <w:rPr>
          <w:rFonts w:asciiTheme="majorHAnsi" w:hAnsiTheme="majorHAnsi" w:cstheme="majorHAnsi"/>
          <w:b/>
          <w:i/>
          <w:sz w:val="24"/>
          <w:szCs w:val="24"/>
          <w:lang w:val="en-GB"/>
        </w:rPr>
        <w:t>:</w:t>
      </w:r>
    </w:p>
    <w:p w:rsidR="00326348" w:rsidRDefault="003C06CB" w:rsidP="00326348">
      <w:pPr>
        <w:tabs>
          <w:tab w:val="left" w:pos="6390"/>
          <w:tab w:val="left" w:pos="7740"/>
          <w:tab w:val="left" w:pos="7830"/>
        </w:tabs>
        <w:spacing w:after="0" w:line="240" w:lineRule="auto"/>
        <w:ind w:left="-90"/>
        <w:jc w:val="both"/>
        <w:rPr>
          <w:rFonts w:asciiTheme="majorHAnsi" w:hAnsiTheme="majorHAnsi" w:cstheme="majorHAnsi"/>
          <w:sz w:val="24"/>
          <w:szCs w:val="24"/>
        </w:rPr>
      </w:pPr>
      <w:r w:rsidRPr="00573701">
        <w:rPr>
          <w:rFonts w:asciiTheme="majorHAnsi" w:hAnsiTheme="majorHAnsi" w:cstheme="majorHAnsi"/>
          <w:sz w:val="24"/>
          <w:szCs w:val="24"/>
          <w:lang w:val="en-GB"/>
        </w:rPr>
        <w:t>W</w:t>
      </w:r>
      <w:r w:rsidR="003C5389" w:rsidRPr="00573701">
        <w:rPr>
          <w:rFonts w:asciiTheme="majorHAnsi" w:hAnsiTheme="majorHAnsi" w:cstheme="majorHAnsi"/>
          <w:sz w:val="24"/>
          <w:szCs w:val="24"/>
          <w:lang w:val="en-GB"/>
        </w:rPr>
        <w:t>e would recommend that</w:t>
      </w:r>
      <w:r w:rsidR="009256B8" w:rsidRPr="00573701">
        <w:rPr>
          <w:rFonts w:asciiTheme="majorHAnsi" w:hAnsiTheme="majorHAnsi" w:cstheme="majorHAnsi"/>
          <w:sz w:val="24"/>
          <w:szCs w:val="24"/>
          <w:lang w:val="en-GB"/>
        </w:rPr>
        <w:t xml:space="preserve"> there be</w:t>
      </w:r>
      <w:r w:rsidR="00F30366" w:rsidRPr="00573701">
        <w:rPr>
          <w:rFonts w:asciiTheme="majorHAnsi" w:hAnsiTheme="majorHAnsi" w:cstheme="majorHAnsi"/>
          <w:sz w:val="24"/>
          <w:szCs w:val="24"/>
          <w:lang w:val="en-GB"/>
        </w:rPr>
        <w:t xml:space="preserve"> a decree or circular to clarify that</w:t>
      </w:r>
      <w:r w:rsidR="003C5389" w:rsidRPr="00573701">
        <w:rPr>
          <w:rFonts w:asciiTheme="majorHAnsi" w:hAnsiTheme="majorHAnsi" w:cstheme="majorHAnsi"/>
          <w:sz w:val="24"/>
          <w:szCs w:val="24"/>
          <w:lang w:val="en-GB"/>
        </w:rPr>
        <w:t xml:space="preserve"> </w:t>
      </w:r>
      <w:r w:rsidR="00372CD1" w:rsidRPr="00573701">
        <w:rPr>
          <w:rFonts w:asciiTheme="majorHAnsi" w:hAnsiTheme="majorHAnsi" w:cstheme="majorHAnsi"/>
          <w:sz w:val="24"/>
          <w:szCs w:val="24"/>
          <w:lang w:val="en-GB"/>
        </w:rPr>
        <w:t>the</w:t>
      </w:r>
      <w:r w:rsidR="00EB68F1" w:rsidRPr="00573701">
        <w:rPr>
          <w:rFonts w:asciiTheme="majorHAnsi" w:hAnsiTheme="majorHAnsi" w:cstheme="majorHAnsi"/>
          <w:sz w:val="24"/>
          <w:szCs w:val="24"/>
          <w:lang w:val="en-GB"/>
        </w:rPr>
        <w:t xml:space="preserve"> </w:t>
      </w:r>
      <w:r w:rsidR="0012598C" w:rsidRPr="00573701">
        <w:rPr>
          <w:rFonts w:asciiTheme="majorHAnsi" w:hAnsiTheme="majorHAnsi" w:cstheme="majorHAnsi"/>
          <w:sz w:val="24"/>
          <w:szCs w:val="24"/>
          <w:lang w:val="en-GB"/>
        </w:rPr>
        <w:t xml:space="preserve">51% </w:t>
      </w:r>
      <w:r w:rsidR="00EB68F1" w:rsidRPr="00573701">
        <w:rPr>
          <w:rFonts w:asciiTheme="majorHAnsi" w:hAnsiTheme="majorHAnsi" w:cstheme="majorHAnsi"/>
          <w:sz w:val="24"/>
          <w:szCs w:val="24"/>
          <w:lang w:val="en-GB"/>
        </w:rPr>
        <w:t xml:space="preserve">principle under the LOI should also apply to </w:t>
      </w:r>
      <w:r w:rsidR="00E6146E" w:rsidRPr="00573701">
        <w:rPr>
          <w:rFonts w:asciiTheme="majorHAnsi" w:hAnsiTheme="majorHAnsi" w:cstheme="majorHAnsi"/>
          <w:sz w:val="24"/>
          <w:szCs w:val="24"/>
          <w:lang w:val="en-GB"/>
        </w:rPr>
        <w:t xml:space="preserve">all </w:t>
      </w:r>
      <w:r w:rsidR="00EB68F1" w:rsidRPr="00573701">
        <w:rPr>
          <w:rFonts w:asciiTheme="majorHAnsi" w:hAnsiTheme="majorHAnsi" w:cstheme="majorHAnsi"/>
          <w:sz w:val="24"/>
          <w:szCs w:val="24"/>
          <w:lang w:val="en-GB"/>
        </w:rPr>
        <w:t xml:space="preserve">the </w:t>
      </w:r>
      <w:r w:rsidRPr="00573701">
        <w:rPr>
          <w:rFonts w:asciiTheme="majorHAnsi" w:hAnsiTheme="majorHAnsi" w:cstheme="majorHAnsi"/>
          <w:sz w:val="24"/>
          <w:szCs w:val="24"/>
          <w:lang w:val="en-GB"/>
        </w:rPr>
        <w:t xml:space="preserve">relevant laws, e.g. the Land Law and </w:t>
      </w:r>
      <w:r w:rsidR="00EB68F1" w:rsidRPr="00573701">
        <w:rPr>
          <w:rFonts w:asciiTheme="majorHAnsi" w:hAnsiTheme="majorHAnsi" w:cstheme="majorHAnsi"/>
          <w:sz w:val="24"/>
          <w:szCs w:val="24"/>
          <w:lang w:val="en-GB"/>
        </w:rPr>
        <w:t xml:space="preserve">LREB, </w:t>
      </w:r>
      <w:r w:rsidR="008027FE" w:rsidRPr="00573701">
        <w:rPr>
          <w:rFonts w:asciiTheme="majorHAnsi" w:hAnsiTheme="majorHAnsi" w:cstheme="majorHAnsi"/>
          <w:sz w:val="24"/>
          <w:szCs w:val="24"/>
          <w:lang w:val="en-GB"/>
        </w:rPr>
        <w:t xml:space="preserve">to provide that </w:t>
      </w:r>
      <w:r w:rsidR="00EB68F1" w:rsidRPr="00573701">
        <w:rPr>
          <w:rFonts w:asciiTheme="majorHAnsi" w:hAnsiTheme="majorHAnsi" w:cstheme="majorHAnsi"/>
          <w:sz w:val="24"/>
          <w:szCs w:val="24"/>
          <w:lang w:val="en-GB"/>
        </w:rPr>
        <w:t xml:space="preserve">real estate </w:t>
      </w:r>
      <w:r w:rsidR="00EB68F1" w:rsidRPr="00573701">
        <w:rPr>
          <w:rFonts w:asciiTheme="majorHAnsi" w:hAnsiTheme="majorHAnsi" w:cstheme="majorHAnsi"/>
          <w:sz w:val="24"/>
          <w:szCs w:val="24"/>
        </w:rPr>
        <w:t>business</w:t>
      </w:r>
      <w:r w:rsidR="00EB68F1" w:rsidRPr="00573701">
        <w:rPr>
          <w:rFonts w:asciiTheme="majorHAnsi" w:hAnsiTheme="majorHAnsi" w:cstheme="majorHAnsi"/>
          <w:sz w:val="24"/>
          <w:szCs w:val="24"/>
          <w:lang w:val="en-GB"/>
        </w:rPr>
        <w:t xml:space="preserve"> enterprises with foreign ownership of less than 51% </w:t>
      </w:r>
      <w:r w:rsidRPr="00573701">
        <w:rPr>
          <w:rFonts w:asciiTheme="majorHAnsi" w:hAnsiTheme="majorHAnsi" w:cstheme="majorHAnsi"/>
          <w:sz w:val="24"/>
          <w:szCs w:val="24"/>
          <w:lang w:val="en-GB"/>
        </w:rPr>
        <w:t xml:space="preserve">be treated as domestic </w:t>
      </w:r>
      <w:r w:rsidR="00EB68F1" w:rsidRPr="00573701">
        <w:rPr>
          <w:rFonts w:asciiTheme="majorHAnsi" w:hAnsiTheme="majorHAnsi" w:cstheme="majorHAnsi"/>
          <w:sz w:val="24"/>
          <w:szCs w:val="24"/>
          <w:lang w:val="en-GB"/>
        </w:rPr>
        <w:t>enterprises</w:t>
      </w:r>
      <w:r w:rsidR="00474306" w:rsidRPr="00573701">
        <w:rPr>
          <w:rFonts w:asciiTheme="majorHAnsi" w:hAnsiTheme="majorHAnsi" w:cstheme="majorHAnsi"/>
          <w:sz w:val="24"/>
          <w:szCs w:val="24"/>
          <w:lang w:val="en-GB"/>
        </w:rPr>
        <w:t>.</w:t>
      </w:r>
      <w:r w:rsidR="003C5389" w:rsidRPr="00573701">
        <w:rPr>
          <w:rFonts w:asciiTheme="majorHAnsi" w:hAnsiTheme="majorHAnsi" w:cstheme="majorHAnsi"/>
          <w:sz w:val="24"/>
          <w:szCs w:val="24"/>
          <w:lang w:val="en-GB"/>
        </w:rPr>
        <w:t xml:space="preserve"> </w:t>
      </w:r>
    </w:p>
    <w:p w:rsidR="00326348" w:rsidRDefault="00326348" w:rsidP="00326348">
      <w:pPr>
        <w:tabs>
          <w:tab w:val="left" w:pos="6390"/>
          <w:tab w:val="left" w:pos="7740"/>
          <w:tab w:val="left" w:pos="7830"/>
        </w:tabs>
        <w:spacing w:after="0" w:line="240" w:lineRule="auto"/>
        <w:ind w:left="-90"/>
        <w:jc w:val="both"/>
        <w:rPr>
          <w:rFonts w:asciiTheme="majorHAnsi" w:hAnsiTheme="majorHAnsi" w:cstheme="majorHAnsi"/>
          <w:sz w:val="24"/>
          <w:szCs w:val="24"/>
        </w:rPr>
      </w:pPr>
    </w:p>
    <w:p w:rsidR="003C5389" w:rsidRPr="00326348" w:rsidRDefault="00474306" w:rsidP="00326348">
      <w:pPr>
        <w:tabs>
          <w:tab w:val="left" w:pos="6390"/>
          <w:tab w:val="left" w:pos="7740"/>
          <w:tab w:val="left" w:pos="7830"/>
        </w:tabs>
        <w:spacing w:after="0" w:line="240" w:lineRule="auto"/>
        <w:ind w:left="-90"/>
        <w:jc w:val="both"/>
        <w:rPr>
          <w:rFonts w:asciiTheme="majorHAnsi" w:hAnsiTheme="majorHAnsi" w:cstheme="majorHAnsi"/>
          <w:sz w:val="24"/>
          <w:szCs w:val="24"/>
        </w:rPr>
      </w:pPr>
      <w:r w:rsidRPr="00573701">
        <w:rPr>
          <w:rFonts w:asciiTheme="majorHAnsi" w:hAnsiTheme="majorHAnsi" w:cstheme="majorHAnsi"/>
          <w:sz w:val="24"/>
          <w:szCs w:val="24"/>
          <w:lang w:val="en-GB"/>
        </w:rPr>
        <w:t>Further,</w:t>
      </w:r>
      <w:r w:rsidR="00BC6E78" w:rsidRPr="00573701">
        <w:rPr>
          <w:rFonts w:asciiTheme="majorHAnsi" w:hAnsiTheme="majorHAnsi" w:cstheme="majorHAnsi"/>
          <w:sz w:val="24"/>
          <w:szCs w:val="24"/>
          <w:lang w:val="en-GB"/>
        </w:rPr>
        <w:t xml:space="preserve"> </w:t>
      </w:r>
      <w:r w:rsidRPr="00573701">
        <w:rPr>
          <w:rFonts w:asciiTheme="majorHAnsi" w:hAnsiTheme="majorHAnsi" w:cstheme="majorHAnsi"/>
          <w:sz w:val="24"/>
          <w:szCs w:val="24"/>
          <w:lang w:val="en-GB"/>
        </w:rPr>
        <w:t>we also recommend that</w:t>
      </w:r>
      <w:r w:rsidR="00BC6E78" w:rsidRPr="00573701">
        <w:rPr>
          <w:rFonts w:asciiTheme="majorHAnsi" w:hAnsiTheme="majorHAnsi" w:cstheme="majorHAnsi"/>
          <w:sz w:val="24"/>
          <w:szCs w:val="24"/>
          <w:lang w:val="en-GB"/>
        </w:rPr>
        <w:t>,</w:t>
      </w:r>
      <w:r w:rsidR="003C5389" w:rsidRPr="00573701">
        <w:rPr>
          <w:rFonts w:asciiTheme="majorHAnsi" w:hAnsiTheme="majorHAnsi" w:cstheme="majorHAnsi"/>
          <w:sz w:val="24"/>
          <w:szCs w:val="24"/>
          <w:lang w:val="en-GB"/>
        </w:rPr>
        <w:t xml:space="preserve"> </w:t>
      </w:r>
      <w:r w:rsidR="00BC6E78" w:rsidRPr="00573701">
        <w:rPr>
          <w:rFonts w:asciiTheme="majorHAnsi" w:hAnsiTheme="majorHAnsi" w:cstheme="majorHAnsi"/>
          <w:sz w:val="24"/>
          <w:szCs w:val="24"/>
          <w:lang w:val="en-GB"/>
        </w:rPr>
        <w:t xml:space="preserve">in the near future, </w:t>
      </w:r>
      <w:r w:rsidR="003C5389" w:rsidRPr="00573701">
        <w:rPr>
          <w:rFonts w:asciiTheme="majorHAnsi" w:hAnsiTheme="majorHAnsi" w:cstheme="majorHAnsi"/>
          <w:sz w:val="24"/>
          <w:szCs w:val="24"/>
        </w:rPr>
        <w:t xml:space="preserve">any difference in treatment between foreign invested enterprises and domestic enterprises </w:t>
      </w:r>
      <w:r w:rsidRPr="00573701">
        <w:rPr>
          <w:rFonts w:asciiTheme="majorHAnsi" w:hAnsiTheme="majorHAnsi" w:cstheme="majorHAnsi"/>
          <w:sz w:val="24"/>
          <w:szCs w:val="24"/>
        </w:rPr>
        <w:t>should</w:t>
      </w:r>
      <w:r w:rsidR="003C5389" w:rsidRPr="00573701">
        <w:rPr>
          <w:rFonts w:asciiTheme="majorHAnsi" w:hAnsiTheme="majorHAnsi" w:cstheme="majorHAnsi"/>
          <w:sz w:val="24"/>
          <w:szCs w:val="24"/>
        </w:rPr>
        <w:t xml:space="preserve"> be removed to ensure a fair and level playing field for all in the real estate sector in Vietnam.</w:t>
      </w:r>
      <w:r w:rsidR="003C5389" w:rsidRPr="00573701">
        <w:rPr>
          <w:rFonts w:asciiTheme="majorHAnsi" w:hAnsiTheme="majorHAnsi" w:cstheme="majorHAnsi"/>
          <w:sz w:val="24"/>
          <w:szCs w:val="24"/>
          <w:lang w:val="en-GB"/>
        </w:rPr>
        <w:t xml:space="preserve">  </w:t>
      </w:r>
    </w:p>
    <w:p w:rsidR="00573701" w:rsidRPr="00573701" w:rsidRDefault="00573701" w:rsidP="00573701">
      <w:pPr>
        <w:tabs>
          <w:tab w:val="left" w:pos="1170"/>
          <w:tab w:val="left" w:pos="6390"/>
          <w:tab w:val="left" w:pos="7740"/>
          <w:tab w:val="left" w:pos="7830"/>
        </w:tabs>
        <w:spacing w:after="0" w:line="240" w:lineRule="auto"/>
        <w:jc w:val="both"/>
        <w:rPr>
          <w:rFonts w:asciiTheme="majorHAnsi" w:hAnsiTheme="majorHAnsi" w:cstheme="majorHAnsi"/>
          <w:sz w:val="24"/>
          <w:szCs w:val="24"/>
          <w:lang w:val="en-GB"/>
        </w:rPr>
      </w:pPr>
    </w:p>
    <w:p w:rsidR="00326348" w:rsidRDefault="00E72583" w:rsidP="00326348">
      <w:pPr>
        <w:pStyle w:val="ListParagraph"/>
        <w:numPr>
          <w:ilvl w:val="0"/>
          <w:numId w:val="1"/>
        </w:numPr>
        <w:tabs>
          <w:tab w:val="left" w:pos="6390"/>
          <w:tab w:val="left" w:pos="7740"/>
          <w:tab w:val="left" w:pos="7830"/>
        </w:tabs>
        <w:spacing w:after="0" w:line="240" w:lineRule="auto"/>
        <w:ind w:hanging="450"/>
        <w:contextualSpacing w:val="0"/>
        <w:jc w:val="both"/>
        <w:rPr>
          <w:rFonts w:asciiTheme="majorHAnsi" w:hAnsiTheme="majorHAnsi" w:cstheme="majorHAnsi"/>
          <w:b/>
          <w:bCs/>
          <w:sz w:val="24"/>
          <w:szCs w:val="24"/>
          <w:lang w:val="en-GB"/>
        </w:rPr>
      </w:pPr>
      <w:r w:rsidRPr="00573701">
        <w:rPr>
          <w:rFonts w:asciiTheme="majorHAnsi" w:hAnsiTheme="majorHAnsi" w:cstheme="majorHAnsi"/>
          <w:b/>
          <w:bCs/>
          <w:sz w:val="24"/>
          <w:szCs w:val="24"/>
          <w:lang w:val="en-GB"/>
        </w:rPr>
        <w:t>Restrictions on sources of capital</w:t>
      </w:r>
    </w:p>
    <w:p w:rsidR="00326348" w:rsidRDefault="00326348" w:rsidP="00326348">
      <w:pPr>
        <w:tabs>
          <w:tab w:val="left" w:pos="6390"/>
          <w:tab w:val="left" w:pos="7740"/>
          <w:tab w:val="left" w:pos="7830"/>
        </w:tabs>
        <w:spacing w:after="0" w:line="240" w:lineRule="auto"/>
        <w:ind w:left="-90"/>
        <w:jc w:val="both"/>
        <w:rPr>
          <w:rFonts w:asciiTheme="majorHAnsi" w:hAnsiTheme="majorHAnsi" w:cstheme="majorHAnsi"/>
          <w:sz w:val="24"/>
          <w:szCs w:val="24"/>
          <w:lang w:val="en-GB"/>
        </w:rPr>
      </w:pPr>
    </w:p>
    <w:p w:rsidR="00326348" w:rsidRDefault="00E6146E" w:rsidP="00326348">
      <w:pPr>
        <w:tabs>
          <w:tab w:val="left" w:pos="6390"/>
          <w:tab w:val="left" w:pos="7740"/>
          <w:tab w:val="left" w:pos="7830"/>
        </w:tabs>
        <w:spacing w:after="0" w:line="240" w:lineRule="auto"/>
        <w:ind w:left="-90"/>
        <w:jc w:val="both"/>
        <w:rPr>
          <w:rFonts w:asciiTheme="majorHAnsi" w:hAnsiTheme="majorHAnsi" w:cstheme="majorHAnsi"/>
          <w:sz w:val="24"/>
          <w:szCs w:val="24"/>
        </w:rPr>
      </w:pPr>
      <w:r w:rsidRPr="00326348">
        <w:rPr>
          <w:rFonts w:asciiTheme="majorHAnsi" w:hAnsiTheme="majorHAnsi" w:cstheme="majorHAnsi"/>
          <w:sz w:val="24"/>
          <w:szCs w:val="24"/>
          <w:lang w:val="en-GB"/>
        </w:rPr>
        <w:t xml:space="preserve">The next issue is </w:t>
      </w:r>
      <w:r w:rsidR="00E72583" w:rsidRPr="00326348">
        <w:rPr>
          <w:rFonts w:asciiTheme="majorHAnsi" w:hAnsiTheme="majorHAnsi" w:cstheme="majorHAnsi"/>
          <w:sz w:val="24"/>
          <w:szCs w:val="24"/>
        </w:rPr>
        <w:t xml:space="preserve">the restriction of sources of capital for residential housing projects under the LRH. Under the old Law on Residential Housing 2005, developers of residential housing projects can raise capital from all legal sources in accordance with the laws. This provision provided </w:t>
      </w:r>
      <w:r w:rsidR="00E72583" w:rsidRPr="00326348">
        <w:rPr>
          <w:rFonts w:asciiTheme="majorHAnsi" w:hAnsiTheme="majorHAnsi" w:cstheme="majorHAnsi"/>
          <w:sz w:val="24"/>
          <w:szCs w:val="24"/>
        </w:rPr>
        <w:lastRenderedPageBreak/>
        <w:t xml:space="preserve">flexibility </w:t>
      </w:r>
      <w:r w:rsidR="00211710" w:rsidRPr="00326348">
        <w:rPr>
          <w:rFonts w:asciiTheme="majorHAnsi" w:hAnsiTheme="majorHAnsi" w:cstheme="majorHAnsi"/>
          <w:sz w:val="24"/>
          <w:szCs w:val="24"/>
        </w:rPr>
        <w:t xml:space="preserve">for </w:t>
      </w:r>
      <w:r w:rsidR="00E72583" w:rsidRPr="00326348">
        <w:rPr>
          <w:rFonts w:asciiTheme="majorHAnsi" w:hAnsiTheme="majorHAnsi" w:cstheme="majorHAnsi"/>
          <w:sz w:val="24"/>
          <w:szCs w:val="24"/>
        </w:rPr>
        <w:t xml:space="preserve">developers in raising capital for their projects. However, the LRH limits the sources of capital for residential housing by removing “other legal sources in accordance with the laws” from the list of sources of capital for residential housing. </w:t>
      </w:r>
      <w:r w:rsidR="00FD4932" w:rsidRPr="00326348">
        <w:rPr>
          <w:rFonts w:asciiTheme="majorHAnsi" w:hAnsiTheme="majorHAnsi" w:cstheme="majorHAnsi"/>
          <w:sz w:val="24"/>
          <w:szCs w:val="24"/>
        </w:rPr>
        <w:t>This means</w:t>
      </w:r>
      <w:r w:rsidR="009767C7" w:rsidRPr="00326348">
        <w:rPr>
          <w:rFonts w:asciiTheme="majorHAnsi" w:hAnsiTheme="majorHAnsi" w:cstheme="majorHAnsi"/>
          <w:sz w:val="24"/>
          <w:szCs w:val="24"/>
        </w:rPr>
        <w:t xml:space="preserve"> that residential housing developers are limited to obtain loan</w:t>
      </w:r>
      <w:r w:rsidR="00211710" w:rsidRPr="00326348">
        <w:rPr>
          <w:rFonts w:asciiTheme="majorHAnsi" w:hAnsiTheme="majorHAnsi" w:cstheme="majorHAnsi"/>
          <w:sz w:val="24"/>
          <w:szCs w:val="24"/>
        </w:rPr>
        <w:t>s</w:t>
      </w:r>
      <w:r w:rsidR="009767C7" w:rsidRPr="00326348">
        <w:rPr>
          <w:rFonts w:asciiTheme="majorHAnsi" w:hAnsiTheme="majorHAnsi" w:cstheme="majorHAnsi"/>
          <w:sz w:val="24"/>
          <w:szCs w:val="24"/>
        </w:rPr>
        <w:t xml:space="preserve"> from offshore credit institution</w:t>
      </w:r>
      <w:r w:rsidR="009F44AD" w:rsidRPr="00326348">
        <w:rPr>
          <w:rFonts w:asciiTheme="majorHAnsi" w:hAnsiTheme="majorHAnsi" w:cstheme="majorHAnsi"/>
          <w:sz w:val="24"/>
          <w:szCs w:val="24"/>
        </w:rPr>
        <w:t>s</w:t>
      </w:r>
      <w:r w:rsidR="009767C7" w:rsidRPr="00326348">
        <w:rPr>
          <w:rFonts w:asciiTheme="majorHAnsi" w:hAnsiTheme="majorHAnsi" w:cstheme="majorHAnsi"/>
          <w:sz w:val="24"/>
          <w:szCs w:val="24"/>
        </w:rPr>
        <w:t xml:space="preserve"> and non-credit institutions.</w:t>
      </w:r>
      <w:r w:rsidR="00FD4932" w:rsidRPr="00326348">
        <w:rPr>
          <w:rFonts w:asciiTheme="majorHAnsi" w:hAnsiTheme="majorHAnsi" w:cstheme="majorHAnsi"/>
          <w:sz w:val="24"/>
          <w:szCs w:val="24"/>
        </w:rPr>
        <w:t xml:space="preserve"> </w:t>
      </w:r>
      <w:r w:rsidR="00E72583" w:rsidRPr="00326348">
        <w:rPr>
          <w:rFonts w:asciiTheme="majorHAnsi" w:hAnsiTheme="majorHAnsi" w:cstheme="majorHAnsi"/>
          <w:sz w:val="24"/>
          <w:szCs w:val="24"/>
        </w:rPr>
        <w:t xml:space="preserve">This reduces the ability of residential housing developers to raise capital effectively and directly affects the competitiveness of such developers. There is no need to limit the ability of residential housing developers to raise capital from legitimate sources. If there is a concern about the sources of capital, measures should be introduced to ensure that the sources are legitimate. A blanket restriction is not the most efficient way to deal with this issue. </w:t>
      </w:r>
    </w:p>
    <w:p w:rsidR="00326348" w:rsidRDefault="00326348" w:rsidP="00326348">
      <w:pPr>
        <w:tabs>
          <w:tab w:val="left" w:pos="6390"/>
          <w:tab w:val="left" w:pos="7740"/>
          <w:tab w:val="left" w:pos="7830"/>
        </w:tabs>
        <w:spacing w:after="0" w:line="240" w:lineRule="auto"/>
        <w:ind w:left="-90"/>
        <w:jc w:val="both"/>
        <w:rPr>
          <w:rFonts w:asciiTheme="majorHAnsi" w:hAnsiTheme="majorHAnsi" w:cstheme="majorHAnsi"/>
          <w:sz w:val="24"/>
          <w:szCs w:val="24"/>
        </w:rPr>
      </w:pPr>
    </w:p>
    <w:p w:rsidR="00326348" w:rsidRDefault="00F16C4F" w:rsidP="00326348">
      <w:pPr>
        <w:tabs>
          <w:tab w:val="left" w:pos="6390"/>
          <w:tab w:val="left" w:pos="7740"/>
          <w:tab w:val="left" w:pos="7830"/>
        </w:tabs>
        <w:spacing w:after="0" w:line="240" w:lineRule="auto"/>
        <w:ind w:left="-90"/>
        <w:jc w:val="both"/>
        <w:rPr>
          <w:rFonts w:asciiTheme="majorHAnsi" w:hAnsiTheme="majorHAnsi" w:cstheme="majorHAnsi"/>
          <w:sz w:val="24"/>
          <w:szCs w:val="24"/>
          <w:lang w:val="en-GB"/>
        </w:rPr>
      </w:pPr>
      <w:r w:rsidRPr="00573701">
        <w:rPr>
          <w:rFonts w:asciiTheme="majorHAnsi" w:hAnsiTheme="majorHAnsi" w:cstheme="majorHAnsi"/>
          <w:sz w:val="24"/>
          <w:szCs w:val="24"/>
        </w:rPr>
        <w:t>T</w:t>
      </w:r>
      <w:r w:rsidR="00B64344" w:rsidRPr="00573701">
        <w:rPr>
          <w:rFonts w:asciiTheme="majorHAnsi" w:hAnsiTheme="majorHAnsi" w:cstheme="majorHAnsi"/>
          <w:sz w:val="24"/>
          <w:szCs w:val="24"/>
        </w:rPr>
        <w:t>his issue was acknowledged by the MOC</w:t>
      </w:r>
      <w:r w:rsidRPr="00573701">
        <w:rPr>
          <w:rFonts w:asciiTheme="majorHAnsi" w:hAnsiTheme="majorHAnsi" w:cstheme="majorHAnsi"/>
          <w:sz w:val="24"/>
          <w:szCs w:val="24"/>
        </w:rPr>
        <w:t xml:space="preserve"> in Document 386</w:t>
      </w:r>
      <w:r w:rsidR="00B64344" w:rsidRPr="00573701">
        <w:rPr>
          <w:rFonts w:asciiTheme="majorHAnsi" w:hAnsiTheme="majorHAnsi" w:cstheme="majorHAnsi"/>
          <w:sz w:val="24"/>
          <w:szCs w:val="24"/>
        </w:rPr>
        <w:t xml:space="preserve"> with a comment that the MOC will propose </w:t>
      </w:r>
      <w:r w:rsidR="007B486A" w:rsidRPr="00573701">
        <w:rPr>
          <w:rFonts w:asciiTheme="majorHAnsi" w:hAnsiTheme="majorHAnsi" w:cstheme="majorHAnsi"/>
          <w:sz w:val="24"/>
          <w:szCs w:val="24"/>
        </w:rPr>
        <w:t>an</w:t>
      </w:r>
      <w:r w:rsidR="00421CBA" w:rsidRPr="00573701">
        <w:rPr>
          <w:rFonts w:asciiTheme="majorHAnsi" w:hAnsiTheme="majorHAnsi" w:cstheme="majorHAnsi"/>
          <w:sz w:val="24"/>
          <w:szCs w:val="24"/>
        </w:rPr>
        <w:t xml:space="preserve"> amendment</w:t>
      </w:r>
      <w:r w:rsidR="000A6C46" w:rsidRPr="00573701">
        <w:rPr>
          <w:rFonts w:asciiTheme="majorHAnsi" w:hAnsiTheme="majorHAnsi" w:cstheme="majorHAnsi"/>
          <w:sz w:val="24"/>
          <w:szCs w:val="24"/>
        </w:rPr>
        <w:t xml:space="preserve"> relating to this issue</w:t>
      </w:r>
      <w:r w:rsidR="00421CBA" w:rsidRPr="00573701">
        <w:rPr>
          <w:rFonts w:asciiTheme="majorHAnsi" w:hAnsiTheme="majorHAnsi" w:cstheme="majorHAnsi"/>
          <w:sz w:val="24"/>
          <w:szCs w:val="24"/>
        </w:rPr>
        <w:t xml:space="preserve"> to the LRH at the appropriate time. The concern is that it is unclear when the LRH will be amended and</w:t>
      </w:r>
      <w:r w:rsidR="009329F5" w:rsidRPr="00573701">
        <w:rPr>
          <w:rFonts w:asciiTheme="majorHAnsi" w:hAnsiTheme="majorHAnsi" w:cstheme="majorHAnsi"/>
          <w:sz w:val="24"/>
          <w:szCs w:val="24"/>
        </w:rPr>
        <w:t xml:space="preserve"> pending such amendment</w:t>
      </w:r>
      <w:r w:rsidR="00421CBA" w:rsidRPr="00573701">
        <w:rPr>
          <w:rFonts w:asciiTheme="majorHAnsi" w:hAnsiTheme="majorHAnsi" w:cstheme="majorHAnsi"/>
          <w:sz w:val="24"/>
          <w:szCs w:val="24"/>
        </w:rPr>
        <w:t xml:space="preserve"> this restriction continues to limit the ability of developers to </w:t>
      </w:r>
      <w:r w:rsidR="00421CBA" w:rsidRPr="00573701">
        <w:rPr>
          <w:rFonts w:asciiTheme="majorHAnsi" w:hAnsiTheme="majorHAnsi" w:cstheme="majorHAnsi"/>
          <w:sz w:val="24"/>
          <w:szCs w:val="24"/>
          <w:lang w:val="en-GB"/>
        </w:rPr>
        <w:t xml:space="preserve">utilise </w:t>
      </w:r>
      <w:r w:rsidR="007A748E" w:rsidRPr="00573701">
        <w:rPr>
          <w:rFonts w:asciiTheme="majorHAnsi" w:hAnsiTheme="majorHAnsi" w:cstheme="majorHAnsi"/>
          <w:sz w:val="24"/>
          <w:szCs w:val="24"/>
          <w:lang w:val="en-GB"/>
        </w:rPr>
        <w:t>the most effective means of funding.</w:t>
      </w:r>
    </w:p>
    <w:p w:rsidR="00326348" w:rsidRDefault="00326348" w:rsidP="00326348">
      <w:pPr>
        <w:tabs>
          <w:tab w:val="left" w:pos="6390"/>
          <w:tab w:val="left" w:pos="7740"/>
          <w:tab w:val="left" w:pos="7830"/>
        </w:tabs>
        <w:spacing w:after="0" w:line="240" w:lineRule="auto"/>
        <w:ind w:left="-90"/>
        <w:jc w:val="both"/>
        <w:rPr>
          <w:rFonts w:asciiTheme="majorHAnsi" w:hAnsiTheme="majorHAnsi" w:cstheme="majorHAnsi"/>
          <w:sz w:val="24"/>
          <w:szCs w:val="24"/>
          <w:lang w:val="en-GB"/>
        </w:rPr>
      </w:pPr>
    </w:p>
    <w:p w:rsidR="00326348" w:rsidRDefault="00E72583" w:rsidP="00326348">
      <w:pPr>
        <w:tabs>
          <w:tab w:val="left" w:pos="6390"/>
          <w:tab w:val="left" w:pos="7740"/>
          <w:tab w:val="left" w:pos="7830"/>
        </w:tabs>
        <w:spacing w:after="0" w:line="240" w:lineRule="auto"/>
        <w:ind w:left="-90"/>
        <w:jc w:val="both"/>
        <w:rPr>
          <w:rFonts w:asciiTheme="majorHAnsi" w:hAnsiTheme="majorHAnsi" w:cstheme="majorHAnsi"/>
          <w:sz w:val="24"/>
          <w:szCs w:val="24"/>
          <w:lang w:val="en-GB"/>
        </w:rPr>
      </w:pPr>
      <w:r w:rsidRPr="00326348">
        <w:rPr>
          <w:rFonts w:asciiTheme="majorHAnsi" w:hAnsiTheme="majorHAnsi" w:cstheme="majorHAnsi"/>
          <w:b/>
          <w:i/>
          <w:sz w:val="24"/>
          <w:szCs w:val="24"/>
        </w:rPr>
        <w:t>Recommendation</w:t>
      </w:r>
      <w:r w:rsidR="00326348" w:rsidRPr="00326348">
        <w:rPr>
          <w:rFonts w:asciiTheme="majorHAnsi" w:hAnsiTheme="majorHAnsi" w:cstheme="majorHAnsi"/>
          <w:b/>
          <w:i/>
          <w:sz w:val="24"/>
          <w:szCs w:val="24"/>
        </w:rPr>
        <w:t>s</w:t>
      </w:r>
      <w:r w:rsidRPr="00326348">
        <w:rPr>
          <w:rFonts w:asciiTheme="majorHAnsi" w:hAnsiTheme="majorHAnsi" w:cstheme="majorHAnsi"/>
          <w:b/>
          <w:i/>
          <w:sz w:val="24"/>
          <w:szCs w:val="24"/>
        </w:rPr>
        <w:t xml:space="preserve">: </w:t>
      </w:r>
    </w:p>
    <w:p w:rsidR="00E72583" w:rsidRDefault="00E72583" w:rsidP="00326348">
      <w:pPr>
        <w:tabs>
          <w:tab w:val="left" w:pos="6390"/>
          <w:tab w:val="left" w:pos="7740"/>
          <w:tab w:val="left" w:pos="7830"/>
        </w:tabs>
        <w:spacing w:after="0" w:line="240" w:lineRule="auto"/>
        <w:ind w:left="-90"/>
        <w:jc w:val="both"/>
        <w:rPr>
          <w:rFonts w:asciiTheme="majorHAnsi" w:hAnsiTheme="majorHAnsi" w:cstheme="majorHAnsi"/>
          <w:sz w:val="24"/>
          <w:szCs w:val="24"/>
          <w:lang w:val="en-GB"/>
        </w:rPr>
      </w:pPr>
      <w:r w:rsidRPr="00573701">
        <w:rPr>
          <w:rFonts w:asciiTheme="majorHAnsi" w:hAnsiTheme="majorHAnsi" w:cstheme="majorHAnsi"/>
          <w:sz w:val="24"/>
          <w:szCs w:val="24"/>
          <w:lang w:val="en-GB"/>
        </w:rPr>
        <w:t xml:space="preserve">We </w:t>
      </w:r>
      <w:r w:rsidR="00421CBA" w:rsidRPr="00573701">
        <w:rPr>
          <w:rFonts w:asciiTheme="majorHAnsi" w:hAnsiTheme="majorHAnsi" w:cstheme="majorHAnsi"/>
          <w:sz w:val="24"/>
          <w:szCs w:val="24"/>
          <w:lang w:val="en-GB"/>
        </w:rPr>
        <w:t xml:space="preserve">recommend that immediate action </w:t>
      </w:r>
      <w:r w:rsidR="003C622F" w:rsidRPr="00573701">
        <w:rPr>
          <w:rFonts w:asciiTheme="majorHAnsi" w:hAnsiTheme="majorHAnsi" w:cstheme="majorHAnsi"/>
          <w:sz w:val="24"/>
          <w:szCs w:val="24"/>
          <w:lang w:val="en-GB"/>
        </w:rPr>
        <w:t>be</w:t>
      </w:r>
      <w:r w:rsidR="00421CBA" w:rsidRPr="00573701">
        <w:rPr>
          <w:rFonts w:asciiTheme="majorHAnsi" w:hAnsiTheme="majorHAnsi" w:cstheme="majorHAnsi"/>
          <w:sz w:val="24"/>
          <w:szCs w:val="24"/>
          <w:lang w:val="en-GB"/>
        </w:rPr>
        <w:t xml:space="preserve"> taken to rectify this </w:t>
      </w:r>
      <w:r w:rsidR="00F30366" w:rsidRPr="00573701">
        <w:rPr>
          <w:rFonts w:asciiTheme="majorHAnsi" w:hAnsiTheme="majorHAnsi" w:cstheme="majorHAnsi"/>
          <w:sz w:val="24"/>
          <w:szCs w:val="24"/>
          <w:lang w:val="en-GB"/>
        </w:rPr>
        <w:t xml:space="preserve">restriction. </w:t>
      </w:r>
      <w:r w:rsidR="003C622F" w:rsidRPr="00573701">
        <w:rPr>
          <w:rFonts w:asciiTheme="majorHAnsi" w:hAnsiTheme="majorHAnsi" w:cstheme="majorHAnsi"/>
          <w:sz w:val="24"/>
          <w:szCs w:val="24"/>
          <w:lang w:val="en-GB"/>
        </w:rPr>
        <w:t>A</w:t>
      </w:r>
      <w:r w:rsidR="00F30366" w:rsidRPr="00573701">
        <w:rPr>
          <w:rFonts w:asciiTheme="majorHAnsi" w:hAnsiTheme="majorHAnsi" w:cstheme="majorHAnsi"/>
          <w:sz w:val="24"/>
          <w:szCs w:val="24"/>
          <w:lang w:val="en-GB"/>
        </w:rPr>
        <w:t>head of an</w:t>
      </w:r>
      <w:r w:rsidR="00421CBA" w:rsidRPr="00573701">
        <w:rPr>
          <w:rFonts w:asciiTheme="majorHAnsi" w:hAnsiTheme="majorHAnsi" w:cstheme="majorHAnsi"/>
          <w:sz w:val="24"/>
          <w:szCs w:val="24"/>
          <w:lang w:val="en-GB"/>
        </w:rPr>
        <w:t xml:space="preserve"> amendment to the LRH</w:t>
      </w:r>
      <w:r w:rsidR="00F30366" w:rsidRPr="00573701">
        <w:rPr>
          <w:rFonts w:asciiTheme="majorHAnsi" w:hAnsiTheme="majorHAnsi" w:cstheme="majorHAnsi"/>
          <w:sz w:val="24"/>
          <w:szCs w:val="24"/>
          <w:lang w:val="en-GB"/>
        </w:rPr>
        <w:t>,</w:t>
      </w:r>
      <w:r w:rsidR="00421CBA" w:rsidRPr="00573701">
        <w:rPr>
          <w:rFonts w:asciiTheme="majorHAnsi" w:hAnsiTheme="majorHAnsi" w:cstheme="majorHAnsi"/>
          <w:sz w:val="24"/>
          <w:szCs w:val="24"/>
          <w:lang w:val="en-GB"/>
        </w:rPr>
        <w:t xml:space="preserve"> </w:t>
      </w:r>
      <w:r w:rsidR="00F30366" w:rsidRPr="00573701">
        <w:rPr>
          <w:rFonts w:asciiTheme="majorHAnsi" w:hAnsiTheme="majorHAnsi" w:cstheme="majorHAnsi"/>
          <w:sz w:val="24"/>
          <w:szCs w:val="24"/>
          <w:lang w:val="en-GB"/>
        </w:rPr>
        <w:t xml:space="preserve">there should be </w:t>
      </w:r>
      <w:r w:rsidR="00421CBA" w:rsidRPr="00573701">
        <w:rPr>
          <w:rFonts w:asciiTheme="majorHAnsi" w:hAnsiTheme="majorHAnsi" w:cstheme="majorHAnsi"/>
          <w:sz w:val="24"/>
          <w:szCs w:val="24"/>
          <w:lang w:val="en-GB"/>
        </w:rPr>
        <w:t>a decree or circular to clarify that residential housing developers ha</w:t>
      </w:r>
      <w:r w:rsidR="00E4566A" w:rsidRPr="00573701">
        <w:rPr>
          <w:rFonts w:asciiTheme="majorHAnsi" w:hAnsiTheme="majorHAnsi" w:cstheme="majorHAnsi"/>
          <w:sz w:val="24"/>
          <w:szCs w:val="24"/>
          <w:lang w:val="en-GB"/>
        </w:rPr>
        <w:t>ve</w:t>
      </w:r>
      <w:r w:rsidRPr="00573701">
        <w:rPr>
          <w:rFonts w:asciiTheme="majorHAnsi" w:hAnsiTheme="majorHAnsi" w:cstheme="majorHAnsi"/>
          <w:sz w:val="24"/>
          <w:szCs w:val="24"/>
          <w:lang w:val="en-GB"/>
        </w:rPr>
        <w:t xml:space="preserve"> the right to raise capital from offshore credit institutions and non-credit institutions; and capital from other sources which are not prohibited by laws.</w:t>
      </w:r>
    </w:p>
    <w:p w:rsidR="00573701" w:rsidRPr="00573701" w:rsidRDefault="00573701" w:rsidP="00573701">
      <w:pPr>
        <w:tabs>
          <w:tab w:val="left" w:pos="1170"/>
          <w:tab w:val="left" w:pos="6390"/>
          <w:tab w:val="left" w:pos="7740"/>
          <w:tab w:val="left" w:pos="7830"/>
        </w:tabs>
        <w:spacing w:after="0" w:line="240" w:lineRule="auto"/>
        <w:jc w:val="both"/>
        <w:rPr>
          <w:rFonts w:asciiTheme="majorHAnsi" w:hAnsiTheme="majorHAnsi" w:cstheme="majorHAnsi"/>
          <w:sz w:val="24"/>
          <w:szCs w:val="24"/>
          <w:lang w:val="en-GB"/>
        </w:rPr>
      </w:pPr>
    </w:p>
    <w:p w:rsidR="005B10CE" w:rsidRPr="00573701" w:rsidRDefault="005B10CE" w:rsidP="00573701">
      <w:pPr>
        <w:pStyle w:val="ListParagraph"/>
        <w:numPr>
          <w:ilvl w:val="0"/>
          <w:numId w:val="1"/>
        </w:numPr>
        <w:tabs>
          <w:tab w:val="left" w:pos="6390"/>
          <w:tab w:val="left" w:pos="7740"/>
          <w:tab w:val="left" w:pos="7830"/>
        </w:tabs>
        <w:spacing w:after="0" w:line="240" w:lineRule="auto"/>
        <w:ind w:hanging="450"/>
        <w:contextualSpacing w:val="0"/>
        <w:jc w:val="both"/>
        <w:rPr>
          <w:rFonts w:asciiTheme="majorHAnsi" w:hAnsiTheme="majorHAnsi" w:cstheme="majorHAnsi"/>
          <w:b/>
          <w:sz w:val="24"/>
          <w:szCs w:val="24"/>
          <w:u w:val="single"/>
        </w:rPr>
      </w:pPr>
      <w:r w:rsidRPr="00573701">
        <w:rPr>
          <w:rFonts w:asciiTheme="majorHAnsi" w:hAnsiTheme="majorHAnsi" w:cstheme="majorHAnsi"/>
          <w:b/>
          <w:bCs/>
          <w:sz w:val="24"/>
          <w:szCs w:val="24"/>
          <w:lang w:val="en-GB"/>
        </w:rPr>
        <w:t xml:space="preserve">Change of </w:t>
      </w:r>
      <w:r w:rsidR="008C212D" w:rsidRPr="00573701">
        <w:rPr>
          <w:rFonts w:asciiTheme="majorHAnsi" w:hAnsiTheme="majorHAnsi" w:cstheme="majorHAnsi"/>
          <w:b/>
          <w:bCs/>
          <w:sz w:val="24"/>
          <w:szCs w:val="24"/>
          <w:lang w:val="en-GB"/>
        </w:rPr>
        <w:t>land user in case of acquisition of shares/capital contribution</w:t>
      </w:r>
    </w:p>
    <w:p w:rsidR="00573701" w:rsidRDefault="00573701" w:rsidP="00573701">
      <w:pPr>
        <w:tabs>
          <w:tab w:val="left" w:pos="1170"/>
          <w:tab w:val="left" w:pos="6390"/>
          <w:tab w:val="left" w:pos="7740"/>
          <w:tab w:val="left" w:pos="7830"/>
        </w:tabs>
        <w:spacing w:after="0" w:line="240" w:lineRule="auto"/>
        <w:jc w:val="both"/>
        <w:rPr>
          <w:rFonts w:asciiTheme="majorHAnsi" w:hAnsiTheme="majorHAnsi" w:cstheme="majorHAnsi"/>
          <w:sz w:val="24"/>
          <w:szCs w:val="24"/>
        </w:rPr>
      </w:pPr>
    </w:p>
    <w:p w:rsidR="00326348" w:rsidRDefault="00474306" w:rsidP="00326348">
      <w:pPr>
        <w:tabs>
          <w:tab w:val="left" w:pos="6390"/>
          <w:tab w:val="left" w:pos="7740"/>
          <w:tab w:val="left" w:pos="7830"/>
        </w:tabs>
        <w:spacing w:after="0" w:line="240" w:lineRule="auto"/>
        <w:ind w:left="-90"/>
        <w:jc w:val="both"/>
        <w:rPr>
          <w:rFonts w:asciiTheme="majorHAnsi" w:hAnsiTheme="majorHAnsi" w:cstheme="majorHAnsi"/>
          <w:sz w:val="24"/>
          <w:szCs w:val="24"/>
          <w:lang w:val="en-GB"/>
        </w:rPr>
      </w:pPr>
      <w:r w:rsidRPr="00326348">
        <w:rPr>
          <w:rFonts w:asciiTheme="majorHAnsi" w:hAnsiTheme="majorHAnsi" w:cstheme="majorHAnsi"/>
          <w:sz w:val="24"/>
          <w:szCs w:val="24"/>
          <w:lang w:val="en-GB"/>
        </w:rPr>
        <w:t>Moving forward, there is also uncertainty under Decree 01</w:t>
      </w:r>
      <w:r w:rsidR="00F16C4F" w:rsidRPr="00326348">
        <w:rPr>
          <w:rFonts w:asciiTheme="majorHAnsi" w:hAnsiTheme="majorHAnsi" w:cstheme="majorHAnsi"/>
          <w:sz w:val="24"/>
          <w:szCs w:val="24"/>
          <w:lang w:val="en-GB"/>
        </w:rPr>
        <w:t>/2017</w:t>
      </w:r>
      <w:r w:rsidRPr="00326348">
        <w:rPr>
          <w:rFonts w:asciiTheme="majorHAnsi" w:hAnsiTheme="majorHAnsi" w:cstheme="majorHAnsi"/>
          <w:sz w:val="24"/>
          <w:szCs w:val="24"/>
          <w:lang w:val="en-GB"/>
        </w:rPr>
        <w:t xml:space="preserve"> relating </w:t>
      </w:r>
      <w:r w:rsidR="00251FA6" w:rsidRPr="00326348">
        <w:rPr>
          <w:rFonts w:asciiTheme="majorHAnsi" w:hAnsiTheme="majorHAnsi" w:cstheme="majorHAnsi"/>
          <w:sz w:val="24"/>
          <w:szCs w:val="24"/>
          <w:lang w:val="en-GB"/>
        </w:rPr>
        <w:t xml:space="preserve">to </w:t>
      </w:r>
      <w:r w:rsidRPr="00326348">
        <w:rPr>
          <w:rFonts w:asciiTheme="majorHAnsi" w:hAnsiTheme="majorHAnsi" w:cstheme="majorHAnsi"/>
          <w:sz w:val="24"/>
          <w:szCs w:val="24"/>
          <w:lang w:val="en-GB"/>
        </w:rPr>
        <w:t xml:space="preserve">change of land user in case of shares/capital contribution. </w:t>
      </w:r>
      <w:r w:rsidR="005B10CE" w:rsidRPr="00326348">
        <w:rPr>
          <w:rFonts w:asciiTheme="majorHAnsi" w:hAnsiTheme="majorHAnsi" w:cstheme="majorHAnsi"/>
          <w:sz w:val="24"/>
          <w:szCs w:val="24"/>
          <w:lang w:val="en-GB"/>
        </w:rPr>
        <w:t>Article 2.27 of Decree 01</w:t>
      </w:r>
      <w:r w:rsidR="00F16C4F" w:rsidRPr="00326348">
        <w:rPr>
          <w:rFonts w:asciiTheme="majorHAnsi" w:hAnsiTheme="majorHAnsi" w:cstheme="majorHAnsi"/>
          <w:sz w:val="24"/>
          <w:szCs w:val="24"/>
          <w:lang w:val="en-GB"/>
        </w:rPr>
        <w:t>/2017</w:t>
      </w:r>
      <w:r w:rsidR="005B10CE" w:rsidRPr="00326348">
        <w:rPr>
          <w:rFonts w:asciiTheme="majorHAnsi" w:hAnsiTheme="majorHAnsi" w:cstheme="majorHAnsi"/>
          <w:sz w:val="24"/>
          <w:szCs w:val="24"/>
          <w:lang w:val="en-GB"/>
        </w:rPr>
        <w:t xml:space="preserve"> provides that where there is any change in the land user in case of </w:t>
      </w:r>
      <w:r w:rsidR="005B10CE" w:rsidRPr="00573701">
        <w:rPr>
          <w:rFonts w:asciiTheme="majorHAnsi" w:hAnsiTheme="majorHAnsi" w:cstheme="majorHAnsi"/>
          <w:sz w:val="24"/>
          <w:szCs w:val="24"/>
          <w:lang w:val="en-GB"/>
        </w:rPr>
        <w:t xml:space="preserve">acquisition of shares/capital contribution in enterprises that includes the value of land use rights, such enterprises must perform the procedure for assigning the land use rights, or registering changes in the land and assets attached to such land. </w:t>
      </w:r>
      <w:r w:rsidR="0078351F" w:rsidRPr="00573701">
        <w:rPr>
          <w:rFonts w:asciiTheme="majorHAnsi" w:hAnsiTheme="majorHAnsi" w:cstheme="majorHAnsi"/>
          <w:sz w:val="24"/>
          <w:szCs w:val="24"/>
          <w:lang w:val="en-GB"/>
        </w:rPr>
        <w:t xml:space="preserve">However, </w:t>
      </w:r>
      <w:r w:rsidR="005B10CE" w:rsidRPr="00573701">
        <w:rPr>
          <w:rFonts w:asciiTheme="majorHAnsi" w:hAnsiTheme="majorHAnsi" w:cstheme="majorHAnsi"/>
          <w:sz w:val="24"/>
          <w:szCs w:val="24"/>
          <w:lang w:val="en-GB"/>
        </w:rPr>
        <w:t>where there is an acquisition of shares/capital contribution</w:t>
      </w:r>
      <w:r w:rsidR="00695180" w:rsidRPr="00573701">
        <w:rPr>
          <w:rFonts w:asciiTheme="majorHAnsi" w:hAnsiTheme="majorHAnsi" w:cstheme="majorHAnsi"/>
          <w:sz w:val="24"/>
          <w:szCs w:val="24"/>
          <w:lang w:val="en-GB"/>
        </w:rPr>
        <w:t xml:space="preserve"> in enterprises that include the value of land use rights</w:t>
      </w:r>
      <w:r w:rsidR="005B10CE" w:rsidRPr="00573701">
        <w:rPr>
          <w:rFonts w:asciiTheme="majorHAnsi" w:hAnsiTheme="majorHAnsi" w:cstheme="majorHAnsi"/>
          <w:sz w:val="24"/>
          <w:szCs w:val="24"/>
          <w:lang w:val="en-GB"/>
        </w:rPr>
        <w:t>,</w:t>
      </w:r>
      <w:r w:rsidR="00695180" w:rsidRPr="00573701">
        <w:rPr>
          <w:rFonts w:asciiTheme="majorHAnsi" w:hAnsiTheme="majorHAnsi" w:cstheme="majorHAnsi"/>
          <w:sz w:val="24"/>
          <w:szCs w:val="24"/>
          <w:lang w:val="en-GB"/>
        </w:rPr>
        <w:t xml:space="preserve"> the ownership of the land still remains with the same enterprises.</w:t>
      </w:r>
      <w:r w:rsidR="005B10CE" w:rsidRPr="00573701">
        <w:rPr>
          <w:rFonts w:asciiTheme="majorHAnsi" w:hAnsiTheme="majorHAnsi" w:cstheme="majorHAnsi"/>
          <w:sz w:val="24"/>
          <w:szCs w:val="24"/>
          <w:lang w:val="en-GB"/>
        </w:rPr>
        <w:t xml:space="preserve"> </w:t>
      </w:r>
      <w:r w:rsidR="00695180" w:rsidRPr="00573701">
        <w:rPr>
          <w:rFonts w:asciiTheme="majorHAnsi" w:hAnsiTheme="majorHAnsi" w:cstheme="majorHAnsi"/>
          <w:sz w:val="24"/>
          <w:szCs w:val="24"/>
          <w:lang w:val="en-GB"/>
        </w:rPr>
        <w:t xml:space="preserve">As such, it should follow that </w:t>
      </w:r>
      <w:r w:rsidR="005B10CE" w:rsidRPr="00573701">
        <w:rPr>
          <w:rFonts w:asciiTheme="majorHAnsi" w:hAnsiTheme="majorHAnsi" w:cstheme="majorHAnsi"/>
          <w:sz w:val="24"/>
          <w:szCs w:val="24"/>
          <w:lang w:val="en-GB"/>
        </w:rPr>
        <w:t xml:space="preserve">the enterprises need not perform the procedure for land use right assignment as </w:t>
      </w:r>
      <w:r w:rsidR="00695180" w:rsidRPr="00573701">
        <w:rPr>
          <w:rFonts w:asciiTheme="majorHAnsi" w:hAnsiTheme="majorHAnsi" w:cstheme="majorHAnsi"/>
          <w:sz w:val="24"/>
          <w:szCs w:val="24"/>
          <w:lang w:val="en-GB"/>
        </w:rPr>
        <w:t xml:space="preserve">such land will still be considered assets of the same enterprises. </w:t>
      </w:r>
      <w:r w:rsidR="005B10CE" w:rsidRPr="00573701">
        <w:rPr>
          <w:rFonts w:asciiTheme="majorHAnsi" w:hAnsiTheme="majorHAnsi" w:cstheme="majorHAnsi"/>
          <w:sz w:val="24"/>
          <w:szCs w:val="24"/>
          <w:lang w:val="en-GB"/>
        </w:rPr>
        <w:t>Further, if the enterprise</w:t>
      </w:r>
      <w:r w:rsidR="00695180" w:rsidRPr="00573701">
        <w:rPr>
          <w:rFonts w:asciiTheme="majorHAnsi" w:hAnsiTheme="majorHAnsi" w:cstheme="majorHAnsi"/>
          <w:sz w:val="24"/>
          <w:szCs w:val="24"/>
          <w:lang w:val="en-GB"/>
        </w:rPr>
        <w:t>s</w:t>
      </w:r>
      <w:r w:rsidR="005B10CE" w:rsidRPr="00573701">
        <w:rPr>
          <w:rFonts w:asciiTheme="majorHAnsi" w:hAnsiTheme="majorHAnsi" w:cstheme="majorHAnsi"/>
          <w:sz w:val="24"/>
          <w:szCs w:val="24"/>
          <w:lang w:val="en-GB"/>
        </w:rPr>
        <w:t xml:space="preserve"> perform the procedure to assign the land use right, there may be financial obligations imposed on the enterprises. This requirement is not necessary as it may cause difficulty to investors when they acquire shares/capital contribution in enterprises.</w:t>
      </w:r>
    </w:p>
    <w:p w:rsidR="00326348" w:rsidRDefault="00326348" w:rsidP="00326348">
      <w:pPr>
        <w:tabs>
          <w:tab w:val="left" w:pos="6390"/>
          <w:tab w:val="left" w:pos="7740"/>
          <w:tab w:val="left" w:pos="7830"/>
        </w:tabs>
        <w:spacing w:after="0" w:line="240" w:lineRule="auto"/>
        <w:ind w:left="-90"/>
        <w:jc w:val="both"/>
        <w:rPr>
          <w:rFonts w:asciiTheme="majorHAnsi" w:hAnsiTheme="majorHAnsi" w:cstheme="majorHAnsi"/>
          <w:sz w:val="24"/>
          <w:szCs w:val="24"/>
          <w:lang w:val="en-GB"/>
        </w:rPr>
      </w:pPr>
    </w:p>
    <w:p w:rsidR="00573701" w:rsidRPr="00326348" w:rsidRDefault="005B10CE" w:rsidP="00326348">
      <w:pPr>
        <w:tabs>
          <w:tab w:val="left" w:pos="6390"/>
          <w:tab w:val="left" w:pos="7740"/>
          <w:tab w:val="left" w:pos="7830"/>
        </w:tabs>
        <w:spacing w:after="0" w:line="240" w:lineRule="auto"/>
        <w:ind w:left="-90"/>
        <w:jc w:val="both"/>
        <w:rPr>
          <w:rFonts w:asciiTheme="majorHAnsi" w:hAnsiTheme="majorHAnsi" w:cstheme="majorHAnsi"/>
          <w:sz w:val="24"/>
          <w:szCs w:val="24"/>
          <w:lang w:val="en-GB"/>
        </w:rPr>
      </w:pPr>
      <w:r w:rsidRPr="00326348">
        <w:rPr>
          <w:rFonts w:asciiTheme="majorHAnsi" w:hAnsiTheme="majorHAnsi" w:cstheme="majorHAnsi"/>
          <w:b/>
          <w:i/>
          <w:sz w:val="24"/>
          <w:szCs w:val="24"/>
        </w:rPr>
        <w:t>Recommendation</w:t>
      </w:r>
      <w:r w:rsidR="00326348">
        <w:rPr>
          <w:rFonts w:asciiTheme="majorHAnsi" w:hAnsiTheme="majorHAnsi" w:cstheme="majorHAnsi"/>
          <w:b/>
          <w:i/>
          <w:sz w:val="24"/>
          <w:szCs w:val="24"/>
        </w:rPr>
        <w:t>s</w:t>
      </w:r>
      <w:r w:rsidRPr="00326348">
        <w:rPr>
          <w:rFonts w:asciiTheme="majorHAnsi" w:hAnsiTheme="majorHAnsi" w:cstheme="majorHAnsi"/>
          <w:b/>
          <w:i/>
          <w:sz w:val="24"/>
          <w:szCs w:val="24"/>
        </w:rPr>
        <w:t xml:space="preserve">: </w:t>
      </w:r>
    </w:p>
    <w:p w:rsidR="002F70C2" w:rsidRPr="00326348" w:rsidRDefault="005B10CE" w:rsidP="00326348">
      <w:pPr>
        <w:tabs>
          <w:tab w:val="left" w:pos="6390"/>
          <w:tab w:val="left" w:pos="7740"/>
          <w:tab w:val="left" w:pos="7830"/>
        </w:tabs>
        <w:spacing w:after="0" w:line="240" w:lineRule="auto"/>
        <w:ind w:left="-90"/>
        <w:jc w:val="both"/>
        <w:rPr>
          <w:rFonts w:asciiTheme="majorHAnsi" w:hAnsiTheme="majorHAnsi" w:cstheme="majorHAnsi"/>
          <w:sz w:val="24"/>
          <w:szCs w:val="24"/>
          <w:lang w:val="en-GB"/>
        </w:rPr>
      </w:pPr>
      <w:r w:rsidRPr="00326348">
        <w:rPr>
          <w:rFonts w:asciiTheme="majorHAnsi" w:hAnsiTheme="majorHAnsi" w:cstheme="majorHAnsi"/>
          <w:sz w:val="24"/>
          <w:szCs w:val="24"/>
          <w:lang w:val="en-GB"/>
        </w:rPr>
        <w:t xml:space="preserve">We suggest </w:t>
      </w:r>
      <w:r w:rsidR="00695180" w:rsidRPr="00326348">
        <w:rPr>
          <w:rFonts w:asciiTheme="majorHAnsi" w:hAnsiTheme="majorHAnsi" w:cstheme="majorHAnsi"/>
          <w:sz w:val="24"/>
          <w:szCs w:val="24"/>
          <w:lang w:val="en-GB"/>
        </w:rPr>
        <w:t xml:space="preserve">for </w:t>
      </w:r>
      <w:r w:rsidRPr="00326348">
        <w:rPr>
          <w:rFonts w:asciiTheme="majorHAnsi" w:hAnsiTheme="majorHAnsi" w:cstheme="majorHAnsi"/>
          <w:sz w:val="24"/>
          <w:szCs w:val="24"/>
          <w:lang w:val="en-GB"/>
        </w:rPr>
        <w:t xml:space="preserve">issuance of </w:t>
      </w:r>
      <w:r w:rsidR="000A6C46" w:rsidRPr="00573701">
        <w:rPr>
          <w:rFonts w:asciiTheme="majorHAnsi" w:hAnsiTheme="majorHAnsi" w:cstheme="majorHAnsi"/>
          <w:sz w:val="24"/>
          <w:szCs w:val="24"/>
          <w:lang w:val="en-GB"/>
        </w:rPr>
        <w:t xml:space="preserve">a decree or circular to </w:t>
      </w:r>
      <w:r w:rsidR="000A6C46" w:rsidRPr="00326348">
        <w:rPr>
          <w:rFonts w:asciiTheme="majorHAnsi" w:hAnsiTheme="majorHAnsi" w:cstheme="majorHAnsi"/>
          <w:sz w:val="24"/>
          <w:szCs w:val="24"/>
          <w:lang w:val="en-GB"/>
        </w:rPr>
        <w:t xml:space="preserve">clarify </w:t>
      </w:r>
      <w:r w:rsidRPr="00326348">
        <w:rPr>
          <w:rFonts w:asciiTheme="majorHAnsi" w:hAnsiTheme="majorHAnsi" w:cstheme="majorHAnsi"/>
          <w:sz w:val="24"/>
          <w:szCs w:val="24"/>
          <w:lang w:val="en-GB"/>
        </w:rPr>
        <w:t>that no change of land user has occurred in case</w:t>
      </w:r>
      <w:r w:rsidR="000A6C46" w:rsidRPr="00326348">
        <w:rPr>
          <w:rFonts w:asciiTheme="majorHAnsi" w:hAnsiTheme="majorHAnsi" w:cstheme="majorHAnsi"/>
          <w:sz w:val="24"/>
          <w:szCs w:val="24"/>
          <w:lang w:val="en-GB"/>
        </w:rPr>
        <w:t>s</w:t>
      </w:r>
      <w:r w:rsidRPr="00326348">
        <w:rPr>
          <w:rFonts w:asciiTheme="majorHAnsi" w:hAnsiTheme="majorHAnsi" w:cstheme="majorHAnsi"/>
          <w:sz w:val="24"/>
          <w:szCs w:val="24"/>
          <w:lang w:val="en-GB"/>
        </w:rPr>
        <w:t xml:space="preserve"> of acquisition of shares/capital contribution.</w:t>
      </w:r>
      <w:r w:rsidR="007A748E" w:rsidRPr="00326348" w:rsidDel="007A748E">
        <w:rPr>
          <w:rFonts w:asciiTheme="majorHAnsi" w:hAnsiTheme="majorHAnsi" w:cstheme="majorHAnsi"/>
          <w:sz w:val="24"/>
          <w:szCs w:val="24"/>
          <w:lang w:val="en-GB"/>
        </w:rPr>
        <w:t xml:space="preserve"> </w:t>
      </w:r>
    </w:p>
    <w:p w:rsidR="00573701" w:rsidRPr="00573701" w:rsidRDefault="00573701" w:rsidP="00573701">
      <w:pPr>
        <w:tabs>
          <w:tab w:val="left" w:pos="1170"/>
          <w:tab w:val="left" w:pos="6390"/>
          <w:tab w:val="left" w:pos="7740"/>
          <w:tab w:val="left" w:pos="7830"/>
        </w:tabs>
        <w:spacing w:after="0" w:line="240" w:lineRule="auto"/>
        <w:jc w:val="both"/>
        <w:rPr>
          <w:rFonts w:asciiTheme="majorHAnsi" w:hAnsiTheme="majorHAnsi" w:cstheme="majorHAnsi"/>
          <w:b/>
          <w:sz w:val="24"/>
          <w:szCs w:val="24"/>
          <w:u w:val="single"/>
        </w:rPr>
      </w:pPr>
    </w:p>
    <w:p w:rsidR="00573701" w:rsidRDefault="005B10CE" w:rsidP="00573701">
      <w:pPr>
        <w:pStyle w:val="ListParagraph"/>
        <w:numPr>
          <w:ilvl w:val="0"/>
          <w:numId w:val="1"/>
        </w:numPr>
        <w:tabs>
          <w:tab w:val="left" w:pos="6390"/>
          <w:tab w:val="left" w:pos="7740"/>
          <w:tab w:val="left" w:pos="7830"/>
        </w:tabs>
        <w:spacing w:after="0" w:line="240" w:lineRule="auto"/>
        <w:ind w:hanging="450"/>
        <w:contextualSpacing w:val="0"/>
        <w:jc w:val="both"/>
        <w:rPr>
          <w:rFonts w:asciiTheme="majorHAnsi" w:hAnsiTheme="majorHAnsi" w:cstheme="majorHAnsi"/>
          <w:b/>
          <w:bCs/>
          <w:sz w:val="24"/>
          <w:szCs w:val="24"/>
          <w:lang w:val="en-GB"/>
        </w:rPr>
      </w:pPr>
      <w:r w:rsidRPr="00573701">
        <w:rPr>
          <w:rFonts w:asciiTheme="majorHAnsi" w:hAnsiTheme="majorHAnsi" w:cstheme="majorHAnsi"/>
          <w:b/>
          <w:bCs/>
          <w:sz w:val="24"/>
          <w:szCs w:val="24"/>
          <w:lang w:val="en-GB"/>
        </w:rPr>
        <w:t xml:space="preserve">Investment </w:t>
      </w:r>
      <w:r w:rsidR="008C212D" w:rsidRPr="00573701">
        <w:rPr>
          <w:rFonts w:asciiTheme="majorHAnsi" w:hAnsiTheme="majorHAnsi" w:cstheme="majorHAnsi"/>
          <w:b/>
          <w:bCs/>
          <w:sz w:val="24"/>
          <w:szCs w:val="24"/>
          <w:lang w:val="en-GB"/>
        </w:rPr>
        <w:t>approvals</w:t>
      </w:r>
    </w:p>
    <w:p w:rsidR="00573701" w:rsidRDefault="00573701" w:rsidP="00573701">
      <w:pPr>
        <w:tabs>
          <w:tab w:val="left" w:pos="6390"/>
          <w:tab w:val="left" w:pos="7740"/>
          <w:tab w:val="left" w:pos="7830"/>
        </w:tabs>
        <w:spacing w:after="0" w:line="240" w:lineRule="auto"/>
        <w:ind w:left="-90"/>
        <w:jc w:val="both"/>
        <w:rPr>
          <w:rFonts w:asciiTheme="majorHAnsi" w:hAnsiTheme="majorHAnsi" w:cstheme="majorHAnsi"/>
          <w:sz w:val="24"/>
          <w:szCs w:val="24"/>
        </w:rPr>
      </w:pPr>
    </w:p>
    <w:p w:rsidR="00573701" w:rsidRDefault="00E87349" w:rsidP="00573701">
      <w:pPr>
        <w:tabs>
          <w:tab w:val="left" w:pos="6390"/>
          <w:tab w:val="left" w:pos="7740"/>
          <w:tab w:val="left" w:pos="7830"/>
        </w:tabs>
        <w:spacing w:after="0" w:line="240" w:lineRule="auto"/>
        <w:ind w:left="-90"/>
        <w:jc w:val="both"/>
        <w:rPr>
          <w:rFonts w:asciiTheme="majorHAnsi" w:hAnsiTheme="majorHAnsi" w:cstheme="majorHAnsi"/>
          <w:b/>
          <w:bCs/>
          <w:sz w:val="24"/>
          <w:szCs w:val="24"/>
          <w:lang w:val="en-GB"/>
        </w:rPr>
      </w:pPr>
      <w:r w:rsidRPr="00573701">
        <w:rPr>
          <w:rFonts w:asciiTheme="majorHAnsi" w:hAnsiTheme="majorHAnsi" w:cstheme="majorHAnsi"/>
          <w:sz w:val="24"/>
          <w:szCs w:val="24"/>
        </w:rPr>
        <w:t xml:space="preserve">The </w:t>
      </w:r>
      <w:r w:rsidR="006D4B40" w:rsidRPr="00573701">
        <w:rPr>
          <w:rFonts w:asciiTheme="majorHAnsi" w:hAnsiTheme="majorHAnsi" w:cstheme="majorHAnsi"/>
          <w:sz w:val="24"/>
          <w:szCs w:val="24"/>
        </w:rPr>
        <w:t xml:space="preserve">next </w:t>
      </w:r>
      <w:r w:rsidRPr="00573701">
        <w:rPr>
          <w:rFonts w:asciiTheme="majorHAnsi" w:hAnsiTheme="majorHAnsi" w:cstheme="majorHAnsi"/>
          <w:sz w:val="24"/>
          <w:szCs w:val="24"/>
        </w:rPr>
        <w:t xml:space="preserve">issue to highlight is the uncertainties relating to </w:t>
      </w:r>
      <w:r w:rsidR="001A1BFD" w:rsidRPr="00573701">
        <w:rPr>
          <w:rFonts w:asciiTheme="majorHAnsi" w:hAnsiTheme="majorHAnsi" w:cstheme="majorHAnsi"/>
          <w:sz w:val="24"/>
          <w:szCs w:val="24"/>
        </w:rPr>
        <w:t>the required approvals for residential developments.</w:t>
      </w:r>
    </w:p>
    <w:p w:rsidR="00573701" w:rsidRDefault="00573701" w:rsidP="00573701">
      <w:pPr>
        <w:tabs>
          <w:tab w:val="left" w:pos="6390"/>
          <w:tab w:val="left" w:pos="7740"/>
          <w:tab w:val="left" w:pos="7830"/>
        </w:tabs>
        <w:spacing w:after="0" w:line="240" w:lineRule="auto"/>
        <w:ind w:left="-90"/>
        <w:jc w:val="both"/>
        <w:rPr>
          <w:rFonts w:asciiTheme="majorHAnsi" w:hAnsiTheme="majorHAnsi" w:cstheme="majorHAnsi"/>
          <w:b/>
          <w:bCs/>
          <w:sz w:val="24"/>
          <w:szCs w:val="24"/>
          <w:lang w:val="en-GB"/>
        </w:rPr>
      </w:pPr>
    </w:p>
    <w:p w:rsidR="00573701" w:rsidRDefault="00CE56DD" w:rsidP="00573701">
      <w:pPr>
        <w:tabs>
          <w:tab w:val="left" w:pos="6390"/>
          <w:tab w:val="left" w:pos="7740"/>
          <w:tab w:val="left" w:pos="7830"/>
        </w:tabs>
        <w:spacing w:after="0" w:line="240" w:lineRule="auto"/>
        <w:ind w:left="-90"/>
        <w:jc w:val="both"/>
        <w:rPr>
          <w:rFonts w:asciiTheme="majorHAnsi" w:hAnsiTheme="majorHAnsi" w:cstheme="majorHAnsi"/>
          <w:b/>
          <w:bCs/>
          <w:sz w:val="24"/>
          <w:szCs w:val="24"/>
          <w:lang w:val="en-GB"/>
        </w:rPr>
      </w:pPr>
      <w:r w:rsidRPr="00573701">
        <w:rPr>
          <w:rFonts w:asciiTheme="majorHAnsi" w:hAnsiTheme="majorHAnsi" w:cstheme="majorHAnsi"/>
          <w:sz w:val="24"/>
          <w:szCs w:val="24"/>
        </w:rPr>
        <w:t xml:space="preserve">Under the laws, </w:t>
      </w:r>
      <w:r w:rsidR="00EB68F1" w:rsidRPr="00573701">
        <w:rPr>
          <w:rFonts w:asciiTheme="majorHAnsi" w:hAnsiTheme="majorHAnsi" w:cstheme="majorHAnsi"/>
          <w:sz w:val="24"/>
          <w:szCs w:val="24"/>
        </w:rPr>
        <w:t>in general, the main approval</w:t>
      </w:r>
      <w:r w:rsidRPr="00573701">
        <w:rPr>
          <w:rFonts w:asciiTheme="majorHAnsi" w:hAnsiTheme="majorHAnsi" w:cstheme="majorHAnsi"/>
          <w:sz w:val="24"/>
          <w:szCs w:val="24"/>
        </w:rPr>
        <w:t xml:space="preserve"> for residential developments </w:t>
      </w:r>
      <w:r w:rsidR="00EB68F1" w:rsidRPr="00573701">
        <w:rPr>
          <w:rFonts w:asciiTheme="majorHAnsi" w:hAnsiTheme="majorHAnsi" w:cstheme="majorHAnsi"/>
          <w:sz w:val="24"/>
          <w:szCs w:val="24"/>
        </w:rPr>
        <w:t>is</w:t>
      </w:r>
      <w:r w:rsidRPr="00573701">
        <w:rPr>
          <w:rFonts w:asciiTheme="majorHAnsi" w:hAnsiTheme="majorHAnsi" w:cstheme="majorHAnsi"/>
          <w:sz w:val="24"/>
          <w:szCs w:val="24"/>
        </w:rPr>
        <w:t xml:space="preserve"> </w:t>
      </w:r>
      <w:r w:rsidR="00EB68F1" w:rsidRPr="00573701">
        <w:rPr>
          <w:rFonts w:asciiTheme="majorHAnsi" w:hAnsiTheme="majorHAnsi" w:cstheme="majorHAnsi"/>
          <w:sz w:val="24"/>
          <w:szCs w:val="24"/>
        </w:rPr>
        <w:t>either an investment in-principle decision (“</w:t>
      </w:r>
      <w:r w:rsidR="00EB68F1" w:rsidRPr="00573701">
        <w:rPr>
          <w:rFonts w:asciiTheme="majorHAnsi" w:hAnsiTheme="majorHAnsi" w:cstheme="majorHAnsi"/>
          <w:b/>
          <w:sz w:val="24"/>
          <w:szCs w:val="24"/>
        </w:rPr>
        <w:t>IID</w:t>
      </w:r>
      <w:r w:rsidR="00EB68F1" w:rsidRPr="00573701">
        <w:rPr>
          <w:rFonts w:asciiTheme="majorHAnsi" w:hAnsiTheme="majorHAnsi" w:cstheme="majorHAnsi"/>
          <w:sz w:val="24"/>
          <w:szCs w:val="24"/>
        </w:rPr>
        <w:t>”) or investment in-principle approval (“</w:t>
      </w:r>
      <w:r w:rsidR="00EB68F1" w:rsidRPr="00573701">
        <w:rPr>
          <w:rFonts w:asciiTheme="majorHAnsi" w:hAnsiTheme="majorHAnsi" w:cstheme="majorHAnsi"/>
          <w:b/>
          <w:sz w:val="24"/>
          <w:szCs w:val="24"/>
        </w:rPr>
        <w:t>IIA</w:t>
      </w:r>
      <w:r w:rsidR="00EB68F1" w:rsidRPr="00573701">
        <w:rPr>
          <w:rFonts w:asciiTheme="majorHAnsi" w:hAnsiTheme="majorHAnsi" w:cstheme="majorHAnsi"/>
          <w:sz w:val="24"/>
          <w:szCs w:val="24"/>
        </w:rPr>
        <w:t>”)</w:t>
      </w:r>
      <w:r w:rsidRPr="00573701">
        <w:rPr>
          <w:rFonts w:asciiTheme="majorHAnsi" w:hAnsiTheme="majorHAnsi" w:cstheme="majorHAnsi"/>
          <w:sz w:val="24"/>
          <w:szCs w:val="24"/>
        </w:rPr>
        <w:t>.</w:t>
      </w:r>
      <w:r w:rsidR="00C4258F" w:rsidRPr="00573701">
        <w:rPr>
          <w:rFonts w:asciiTheme="majorHAnsi" w:hAnsiTheme="majorHAnsi" w:cstheme="majorHAnsi"/>
          <w:sz w:val="24"/>
          <w:szCs w:val="24"/>
        </w:rPr>
        <w:t xml:space="preserve"> The IID can be obtained by foreign investors prior to establishing a company in Vietnam whereas the IIA can only be obtained by real estate companies in Vietnam.</w:t>
      </w:r>
      <w:r w:rsidR="00F01A54" w:rsidRPr="00573701">
        <w:rPr>
          <w:rFonts w:asciiTheme="majorHAnsi" w:hAnsiTheme="majorHAnsi" w:cstheme="majorHAnsi"/>
          <w:sz w:val="24"/>
          <w:szCs w:val="24"/>
        </w:rPr>
        <w:t xml:space="preserve"> Further, a foreign investor which</w:t>
      </w:r>
      <w:r w:rsidR="0012598C" w:rsidRPr="00573701">
        <w:rPr>
          <w:rFonts w:asciiTheme="majorHAnsi" w:hAnsiTheme="majorHAnsi" w:cstheme="majorHAnsi"/>
          <w:sz w:val="24"/>
          <w:szCs w:val="24"/>
        </w:rPr>
        <w:t xml:space="preserve"> wishes to establish an enterprise in Vietnam is also required to obtain an investment registration certificate (“</w:t>
      </w:r>
      <w:r w:rsidR="0012598C" w:rsidRPr="00573701">
        <w:rPr>
          <w:rFonts w:asciiTheme="majorHAnsi" w:hAnsiTheme="majorHAnsi" w:cstheme="majorHAnsi"/>
          <w:b/>
          <w:sz w:val="24"/>
          <w:szCs w:val="24"/>
        </w:rPr>
        <w:t>IRC</w:t>
      </w:r>
      <w:r w:rsidR="0012598C" w:rsidRPr="00573701">
        <w:rPr>
          <w:rFonts w:asciiTheme="majorHAnsi" w:hAnsiTheme="majorHAnsi" w:cstheme="majorHAnsi"/>
          <w:sz w:val="24"/>
          <w:szCs w:val="24"/>
        </w:rPr>
        <w:t xml:space="preserve">”), which is the </w:t>
      </w:r>
      <w:r w:rsidR="0012598C" w:rsidRPr="00573701">
        <w:rPr>
          <w:rFonts w:asciiTheme="majorHAnsi" w:hAnsiTheme="majorHAnsi" w:cstheme="majorHAnsi"/>
          <w:sz w:val="24"/>
          <w:szCs w:val="24"/>
          <w:lang w:val="en-GB"/>
        </w:rPr>
        <w:t>document recording</w:t>
      </w:r>
      <w:r w:rsidR="0012598C" w:rsidRPr="00573701">
        <w:rPr>
          <w:rFonts w:asciiTheme="majorHAnsi" w:hAnsiTheme="majorHAnsi" w:cstheme="majorHAnsi"/>
          <w:i/>
          <w:iCs/>
          <w:sz w:val="24"/>
          <w:szCs w:val="24"/>
          <w:lang w:val="en-GB"/>
        </w:rPr>
        <w:t xml:space="preserve"> </w:t>
      </w:r>
      <w:r w:rsidR="0012598C" w:rsidRPr="00573701">
        <w:rPr>
          <w:rFonts w:asciiTheme="majorHAnsi" w:hAnsiTheme="majorHAnsi" w:cstheme="majorHAnsi"/>
          <w:sz w:val="24"/>
          <w:szCs w:val="24"/>
          <w:lang w:val="en-GB"/>
        </w:rPr>
        <w:t xml:space="preserve">information registered by the investor about an investment project. </w:t>
      </w:r>
    </w:p>
    <w:p w:rsidR="00573701" w:rsidRDefault="00573701" w:rsidP="00573701">
      <w:pPr>
        <w:tabs>
          <w:tab w:val="left" w:pos="6390"/>
          <w:tab w:val="left" w:pos="7740"/>
          <w:tab w:val="left" w:pos="7830"/>
        </w:tabs>
        <w:spacing w:after="0" w:line="240" w:lineRule="auto"/>
        <w:ind w:left="-90"/>
        <w:jc w:val="both"/>
        <w:rPr>
          <w:rFonts w:asciiTheme="majorHAnsi" w:hAnsiTheme="majorHAnsi" w:cstheme="majorHAnsi"/>
          <w:b/>
          <w:bCs/>
          <w:sz w:val="24"/>
          <w:szCs w:val="24"/>
          <w:lang w:val="en-GB"/>
        </w:rPr>
      </w:pPr>
    </w:p>
    <w:p w:rsidR="00573701" w:rsidRDefault="005A39B4" w:rsidP="00573701">
      <w:pPr>
        <w:tabs>
          <w:tab w:val="left" w:pos="6390"/>
          <w:tab w:val="left" w:pos="7740"/>
          <w:tab w:val="left" w:pos="7830"/>
        </w:tabs>
        <w:spacing w:after="0" w:line="240" w:lineRule="auto"/>
        <w:ind w:left="-90"/>
        <w:jc w:val="both"/>
        <w:rPr>
          <w:rFonts w:asciiTheme="majorHAnsi" w:hAnsiTheme="majorHAnsi" w:cstheme="majorHAnsi"/>
          <w:b/>
          <w:bCs/>
          <w:sz w:val="24"/>
          <w:szCs w:val="24"/>
          <w:lang w:val="en-GB"/>
        </w:rPr>
      </w:pPr>
      <w:r w:rsidRPr="00573701">
        <w:rPr>
          <w:rFonts w:asciiTheme="majorHAnsi" w:hAnsiTheme="majorHAnsi" w:cstheme="majorHAnsi"/>
          <w:sz w:val="24"/>
          <w:szCs w:val="24"/>
        </w:rPr>
        <w:t>The LOI provides that the IID is required for projects to which the State allocates or leases out land without auction, tendering or transfer whereas the LRH provides that</w:t>
      </w:r>
      <w:r w:rsidR="006F53B6" w:rsidRPr="00573701">
        <w:rPr>
          <w:rFonts w:asciiTheme="majorHAnsi" w:hAnsiTheme="majorHAnsi" w:cstheme="majorHAnsi"/>
          <w:sz w:val="24"/>
          <w:szCs w:val="24"/>
        </w:rPr>
        <w:t xml:space="preserve"> IIA is required for</w:t>
      </w:r>
      <w:r w:rsidRPr="00573701">
        <w:rPr>
          <w:rFonts w:asciiTheme="majorHAnsi" w:hAnsiTheme="majorHAnsi" w:cstheme="majorHAnsi"/>
          <w:sz w:val="24"/>
          <w:szCs w:val="24"/>
        </w:rPr>
        <w:t xml:space="preserve"> residential developments that do not fall under the circumstances of requiring the IID. We note that there are some uncertainties relating to the IID and the IIA as follows: </w:t>
      </w:r>
    </w:p>
    <w:p w:rsidR="00326348" w:rsidRDefault="00326348" w:rsidP="00573701">
      <w:pPr>
        <w:tabs>
          <w:tab w:val="left" w:pos="6390"/>
          <w:tab w:val="left" w:pos="7740"/>
          <w:tab w:val="left" w:pos="7830"/>
        </w:tabs>
        <w:spacing w:after="0" w:line="240" w:lineRule="auto"/>
        <w:ind w:left="-90"/>
        <w:jc w:val="both"/>
        <w:rPr>
          <w:rFonts w:asciiTheme="majorHAnsi" w:hAnsiTheme="majorHAnsi" w:cstheme="majorHAnsi"/>
          <w:b/>
          <w:sz w:val="24"/>
          <w:szCs w:val="24"/>
          <w:u w:val="single"/>
        </w:rPr>
      </w:pPr>
    </w:p>
    <w:p w:rsidR="00326348" w:rsidRDefault="00326348" w:rsidP="00326348">
      <w:pPr>
        <w:tabs>
          <w:tab w:val="left" w:pos="6390"/>
          <w:tab w:val="left" w:pos="7740"/>
          <w:tab w:val="left" w:pos="7830"/>
        </w:tabs>
        <w:spacing w:after="0" w:line="240" w:lineRule="auto"/>
        <w:ind w:left="-90"/>
        <w:jc w:val="both"/>
        <w:rPr>
          <w:rFonts w:asciiTheme="majorHAnsi" w:hAnsiTheme="majorHAnsi" w:cstheme="majorHAnsi"/>
          <w:b/>
          <w:bCs/>
          <w:i/>
          <w:sz w:val="24"/>
          <w:szCs w:val="24"/>
          <w:lang w:val="en-GB"/>
        </w:rPr>
      </w:pPr>
      <w:r w:rsidRPr="00326348">
        <w:rPr>
          <w:rFonts w:asciiTheme="majorHAnsi" w:hAnsiTheme="majorHAnsi" w:cstheme="majorHAnsi"/>
          <w:b/>
          <w:i/>
          <w:sz w:val="24"/>
          <w:szCs w:val="24"/>
        </w:rPr>
        <w:t xml:space="preserve">5.1. </w:t>
      </w:r>
      <w:r w:rsidR="001A1BFD" w:rsidRPr="00326348">
        <w:rPr>
          <w:rFonts w:asciiTheme="majorHAnsi" w:hAnsiTheme="majorHAnsi" w:cstheme="majorHAnsi"/>
          <w:b/>
          <w:i/>
          <w:sz w:val="24"/>
          <w:szCs w:val="24"/>
        </w:rPr>
        <w:t>Circumstances requir</w:t>
      </w:r>
      <w:r w:rsidR="00E00AB0" w:rsidRPr="00326348">
        <w:rPr>
          <w:rFonts w:asciiTheme="majorHAnsi" w:hAnsiTheme="majorHAnsi" w:cstheme="majorHAnsi"/>
          <w:b/>
          <w:i/>
          <w:sz w:val="24"/>
          <w:szCs w:val="24"/>
        </w:rPr>
        <w:t>ing</w:t>
      </w:r>
      <w:r w:rsidR="001A1BFD" w:rsidRPr="00326348">
        <w:rPr>
          <w:rFonts w:asciiTheme="majorHAnsi" w:hAnsiTheme="majorHAnsi" w:cstheme="majorHAnsi"/>
          <w:b/>
          <w:i/>
          <w:sz w:val="24"/>
          <w:szCs w:val="24"/>
        </w:rPr>
        <w:t xml:space="preserve"> an IID:</w:t>
      </w:r>
    </w:p>
    <w:p w:rsidR="00326348" w:rsidRDefault="00326348" w:rsidP="00326348">
      <w:pPr>
        <w:tabs>
          <w:tab w:val="left" w:pos="6390"/>
          <w:tab w:val="left" w:pos="7740"/>
          <w:tab w:val="left" w:pos="7830"/>
        </w:tabs>
        <w:spacing w:after="0" w:line="240" w:lineRule="auto"/>
        <w:ind w:left="-90"/>
        <w:jc w:val="both"/>
        <w:rPr>
          <w:rFonts w:asciiTheme="majorHAnsi" w:hAnsiTheme="majorHAnsi" w:cstheme="majorHAnsi"/>
          <w:sz w:val="24"/>
          <w:szCs w:val="24"/>
        </w:rPr>
      </w:pPr>
    </w:p>
    <w:p w:rsidR="00326348" w:rsidRDefault="005A39B4" w:rsidP="00326348">
      <w:pPr>
        <w:tabs>
          <w:tab w:val="left" w:pos="6390"/>
          <w:tab w:val="left" w:pos="7740"/>
          <w:tab w:val="left" w:pos="7830"/>
        </w:tabs>
        <w:spacing w:after="0" w:line="240" w:lineRule="auto"/>
        <w:ind w:left="-90"/>
        <w:jc w:val="both"/>
        <w:rPr>
          <w:rFonts w:asciiTheme="majorHAnsi" w:hAnsiTheme="majorHAnsi" w:cstheme="majorHAnsi"/>
          <w:b/>
          <w:bCs/>
          <w:i/>
          <w:sz w:val="24"/>
          <w:szCs w:val="24"/>
          <w:lang w:val="en-GB"/>
        </w:rPr>
      </w:pPr>
      <w:r w:rsidRPr="00326348">
        <w:rPr>
          <w:rFonts w:asciiTheme="majorHAnsi" w:hAnsiTheme="majorHAnsi" w:cstheme="majorHAnsi"/>
          <w:sz w:val="24"/>
          <w:szCs w:val="24"/>
        </w:rPr>
        <w:t xml:space="preserve">Article 32 of the LOI provides that the IID requirement only applies to projects where the developers receive land use right from the State directly by way of allocation or lease of land without auction, tendering or transfer. This is confusing as the Land Law strictly provides that the only way a developer can receive land from the State is either by way of allocation or lease of land, not by way of transfer. It is unclear under which circumstances a developer can receive land from the State by way of transfer. </w:t>
      </w:r>
    </w:p>
    <w:p w:rsidR="00326348" w:rsidRDefault="00326348" w:rsidP="00326348">
      <w:pPr>
        <w:tabs>
          <w:tab w:val="left" w:pos="6390"/>
          <w:tab w:val="left" w:pos="7740"/>
          <w:tab w:val="left" w:pos="7830"/>
        </w:tabs>
        <w:spacing w:after="0" w:line="240" w:lineRule="auto"/>
        <w:ind w:left="-90"/>
        <w:jc w:val="both"/>
        <w:rPr>
          <w:rFonts w:asciiTheme="majorHAnsi" w:hAnsiTheme="majorHAnsi" w:cstheme="majorHAnsi"/>
          <w:b/>
          <w:bCs/>
          <w:i/>
          <w:sz w:val="24"/>
          <w:szCs w:val="24"/>
          <w:lang w:val="en-GB"/>
        </w:rPr>
      </w:pPr>
    </w:p>
    <w:p w:rsidR="00326348" w:rsidRPr="00326348" w:rsidRDefault="005A39B4" w:rsidP="00326348">
      <w:pPr>
        <w:tabs>
          <w:tab w:val="left" w:pos="6390"/>
          <w:tab w:val="left" w:pos="7740"/>
          <w:tab w:val="left" w:pos="7830"/>
        </w:tabs>
        <w:spacing w:after="0" w:line="240" w:lineRule="auto"/>
        <w:ind w:left="-90"/>
        <w:jc w:val="both"/>
        <w:rPr>
          <w:rFonts w:asciiTheme="majorHAnsi" w:hAnsiTheme="majorHAnsi" w:cstheme="majorHAnsi"/>
          <w:b/>
          <w:i/>
          <w:sz w:val="24"/>
          <w:szCs w:val="24"/>
        </w:rPr>
      </w:pPr>
      <w:r w:rsidRPr="00326348">
        <w:rPr>
          <w:rFonts w:asciiTheme="majorHAnsi" w:hAnsiTheme="majorHAnsi" w:cstheme="majorHAnsi"/>
          <w:b/>
          <w:i/>
          <w:sz w:val="24"/>
          <w:szCs w:val="24"/>
        </w:rPr>
        <w:t>Recommendation</w:t>
      </w:r>
      <w:r w:rsidR="00326348" w:rsidRPr="00326348">
        <w:rPr>
          <w:rFonts w:asciiTheme="majorHAnsi" w:hAnsiTheme="majorHAnsi" w:cstheme="majorHAnsi"/>
          <w:b/>
          <w:i/>
          <w:sz w:val="24"/>
          <w:szCs w:val="24"/>
        </w:rPr>
        <w:t>s</w:t>
      </w:r>
      <w:r w:rsidRPr="00326348">
        <w:rPr>
          <w:rFonts w:asciiTheme="majorHAnsi" w:hAnsiTheme="majorHAnsi" w:cstheme="majorHAnsi"/>
          <w:b/>
          <w:i/>
          <w:sz w:val="24"/>
          <w:szCs w:val="24"/>
        </w:rPr>
        <w:t xml:space="preserve">: </w:t>
      </w:r>
    </w:p>
    <w:p w:rsidR="005A39B4" w:rsidRPr="00326348" w:rsidRDefault="005A39B4" w:rsidP="00326348">
      <w:pPr>
        <w:tabs>
          <w:tab w:val="left" w:pos="6390"/>
          <w:tab w:val="left" w:pos="7740"/>
          <w:tab w:val="left" w:pos="7830"/>
        </w:tabs>
        <w:spacing w:after="0" w:line="240" w:lineRule="auto"/>
        <w:ind w:left="-90"/>
        <w:jc w:val="both"/>
        <w:rPr>
          <w:rFonts w:asciiTheme="majorHAnsi" w:hAnsiTheme="majorHAnsi" w:cstheme="majorHAnsi"/>
          <w:b/>
          <w:bCs/>
          <w:i/>
          <w:sz w:val="24"/>
          <w:szCs w:val="24"/>
          <w:lang w:val="en-GB"/>
        </w:rPr>
      </w:pPr>
      <w:r w:rsidRPr="00326348">
        <w:rPr>
          <w:rFonts w:asciiTheme="majorHAnsi" w:hAnsiTheme="majorHAnsi" w:cstheme="majorHAnsi"/>
          <w:sz w:val="24"/>
          <w:szCs w:val="24"/>
        </w:rPr>
        <w:t xml:space="preserve">We suggest issuance of clarification as to </w:t>
      </w:r>
      <w:r w:rsidR="006F53B6" w:rsidRPr="00326348">
        <w:rPr>
          <w:rFonts w:asciiTheme="majorHAnsi" w:hAnsiTheme="majorHAnsi" w:cstheme="majorHAnsi"/>
          <w:sz w:val="24"/>
          <w:szCs w:val="24"/>
        </w:rPr>
        <w:t xml:space="preserve">under </w:t>
      </w:r>
      <w:r w:rsidRPr="00326348">
        <w:rPr>
          <w:rFonts w:asciiTheme="majorHAnsi" w:hAnsiTheme="majorHAnsi" w:cstheme="majorHAnsi"/>
          <w:sz w:val="24"/>
          <w:szCs w:val="24"/>
        </w:rPr>
        <w:t>what circumstances a transfer of land is covered by allocation and lease by the State.</w:t>
      </w:r>
    </w:p>
    <w:p w:rsidR="00326348" w:rsidRDefault="00326348" w:rsidP="00326348">
      <w:pPr>
        <w:tabs>
          <w:tab w:val="left" w:pos="6390"/>
          <w:tab w:val="left" w:pos="7740"/>
          <w:tab w:val="left" w:pos="7830"/>
        </w:tabs>
        <w:spacing w:after="0" w:line="240" w:lineRule="auto"/>
        <w:ind w:left="-90"/>
        <w:jc w:val="both"/>
        <w:rPr>
          <w:rFonts w:asciiTheme="majorHAnsi" w:hAnsiTheme="majorHAnsi" w:cstheme="majorHAnsi"/>
          <w:b/>
          <w:i/>
          <w:sz w:val="24"/>
          <w:szCs w:val="24"/>
        </w:rPr>
      </w:pPr>
    </w:p>
    <w:p w:rsidR="001A1BFD" w:rsidRPr="00326348" w:rsidRDefault="00326348" w:rsidP="00326348">
      <w:pPr>
        <w:tabs>
          <w:tab w:val="left" w:pos="6390"/>
          <w:tab w:val="left" w:pos="7740"/>
          <w:tab w:val="left" w:pos="7830"/>
        </w:tabs>
        <w:spacing w:after="0" w:line="240" w:lineRule="auto"/>
        <w:ind w:left="-90"/>
        <w:jc w:val="both"/>
        <w:rPr>
          <w:rFonts w:asciiTheme="majorHAnsi" w:hAnsiTheme="majorHAnsi" w:cstheme="majorHAnsi"/>
          <w:b/>
          <w:i/>
          <w:sz w:val="24"/>
          <w:szCs w:val="24"/>
        </w:rPr>
      </w:pPr>
      <w:r>
        <w:rPr>
          <w:rFonts w:asciiTheme="majorHAnsi" w:hAnsiTheme="majorHAnsi" w:cstheme="majorHAnsi"/>
          <w:b/>
          <w:i/>
          <w:sz w:val="24"/>
          <w:szCs w:val="24"/>
        </w:rPr>
        <w:t xml:space="preserve">5.2. </w:t>
      </w:r>
      <w:r w:rsidR="001A1BFD" w:rsidRPr="00326348">
        <w:rPr>
          <w:rFonts w:asciiTheme="majorHAnsi" w:hAnsiTheme="majorHAnsi" w:cstheme="majorHAnsi"/>
          <w:b/>
          <w:i/>
          <w:sz w:val="24"/>
          <w:szCs w:val="24"/>
        </w:rPr>
        <w:t>Investment approval for capital contribution by way of land use right:</w:t>
      </w:r>
    </w:p>
    <w:p w:rsidR="00326348" w:rsidRDefault="00326348" w:rsidP="00326348">
      <w:pPr>
        <w:tabs>
          <w:tab w:val="left" w:pos="6390"/>
          <w:tab w:val="left" w:pos="7740"/>
          <w:tab w:val="left" w:pos="7830"/>
        </w:tabs>
        <w:spacing w:after="0" w:line="240" w:lineRule="auto"/>
        <w:ind w:left="-90"/>
        <w:jc w:val="both"/>
        <w:rPr>
          <w:rFonts w:asciiTheme="majorHAnsi" w:hAnsiTheme="majorHAnsi" w:cstheme="majorHAnsi"/>
          <w:sz w:val="24"/>
          <w:szCs w:val="24"/>
        </w:rPr>
      </w:pPr>
    </w:p>
    <w:p w:rsidR="008A665C" w:rsidRPr="00573701" w:rsidRDefault="005A39B4" w:rsidP="00326348">
      <w:pPr>
        <w:tabs>
          <w:tab w:val="left" w:pos="6390"/>
          <w:tab w:val="left" w:pos="7740"/>
          <w:tab w:val="left" w:pos="7830"/>
        </w:tabs>
        <w:spacing w:after="0" w:line="240" w:lineRule="auto"/>
        <w:ind w:left="-90"/>
        <w:jc w:val="both"/>
        <w:rPr>
          <w:rFonts w:asciiTheme="majorHAnsi" w:hAnsiTheme="majorHAnsi" w:cstheme="majorHAnsi"/>
          <w:sz w:val="24"/>
          <w:szCs w:val="24"/>
        </w:rPr>
      </w:pPr>
      <w:r w:rsidRPr="00573701">
        <w:rPr>
          <w:rFonts w:asciiTheme="majorHAnsi" w:hAnsiTheme="majorHAnsi" w:cstheme="majorHAnsi"/>
          <w:sz w:val="24"/>
          <w:szCs w:val="24"/>
        </w:rPr>
        <w:t xml:space="preserve">Under the LRH, an IIA can only be obtained by enterprises incorporated in Vietnam. </w:t>
      </w:r>
      <w:r w:rsidR="00C01194" w:rsidRPr="00573701">
        <w:rPr>
          <w:rFonts w:asciiTheme="majorHAnsi" w:hAnsiTheme="majorHAnsi" w:cstheme="majorHAnsi"/>
          <w:sz w:val="24"/>
          <w:szCs w:val="24"/>
        </w:rPr>
        <w:t>Under a joint venture between a foreign investor and a domestic investor to develop a residential housing project, the domestic investor will contribute capital by way of land use right. As such, the land is not directly allocated/leased by the State. In such a case, a</w:t>
      </w:r>
      <w:r w:rsidRPr="00573701">
        <w:rPr>
          <w:rFonts w:asciiTheme="majorHAnsi" w:hAnsiTheme="majorHAnsi" w:cstheme="majorHAnsi"/>
          <w:sz w:val="24"/>
          <w:szCs w:val="24"/>
        </w:rPr>
        <w:t xml:space="preserve">s </w:t>
      </w:r>
      <w:r w:rsidR="00976652" w:rsidRPr="00573701">
        <w:rPr>
          <w:rFonts w:asciiTheme="majorHAnsi" w:hAnsiTheme="majorHAnsi" w:cstheme="majorHAnsi"/>
          <w:sz w:val="24"/>
          <w:szCs w:val="24"/>
        </w:rPr>
        <w:t>it is</w:t>
      </w:r>
      <w:r w:rsidR="000A6C46" w:rsidRPr="00573701">
        <w:rPr>
          <w:rFonts w:asciiTheme="majorHAnsi" w:hAnsiTheme="majorHAnsi" w:cstheme="majorHAnsi"/>
          <w:sz w:val="24"/>
          <w:szCs w:val="24"/>
        </w:rPr>
        <w:t xml:space="preserve"> provided that the IID is required only in cases of allocation or lease of land by the State without auction, tendering or transfer</w:t>
      </w:r>
      <w:r w:rsidRPr="00573701">
        <w:rPr>
          <w:rFonts w:asciiTheme="majorHAnsi" w:hAnsiTheme="majorHAnsi" w:cstheme="majorHAnsi"/>
          <w:sz w:val="24"/>
          <w:szCs w:val="24"/>
        </w:rPr>
        <w:t>, it is arguable that the IIA will be required.</w:t>
      </w:r>
    </w:p>
    <w:p w:rsidR="00326348" w:rsidRDefault="00326348" w:rsidP="00326348">
      <w:pPr>
        <w:tabs>
          <w:tab w:val="left" w:pos="6390"/>
          <w:tab w:val="left" w:pos="7740"/>
          <w:tab w:val="left" w:pos="7830"/>
        </w:tabs>
        <w:spacing w:after="0" w:line="240" w:lineRule="auto"/>
        <w:ind w:left="-90"/>
        <w:jc w:val="both"/>
        <w:rPr>
          <w:rFonts w:asciiTheme="majorHAnsi" w:hAnsiTheme="majorHAnsi" w:cstheme="majorHAnsi"/>
          <w:sz w:val="24"/>
          <w:szCs w:val="24"/>
        </w:rPr>
      </w:pPr>
    </w:p>
    <w:p w:rsidR="008A665C" w:rsidRPr="00573701" w:rsidRDefault="008A665C" w:rsidP="00326348">
      <w:pPr>
        <w:tabs>
          <w:tab w:val="left" w:pos="6390"/>
          <w:tab w:val="left" w:pos="7740"/>
          <w:tab w:val="left" w:pos="7830"/>
        </w:tabs>
        <w:spacing w:after="0" w:line="240" w:lineRule="auto"/>
        <w:ind w:left="-90"/>
        <w:jc w:val="both"/>
        <w:rPr>
          <w:rFonts w:asciiTheme="majorHAnsi" w:hAnsiTheme="majorHAnsi" w:cstheme="majorHAnsi"/>
          <w:sz w:val="24"/>
          <w:szCs w:val="24"/>
        </w:rPr>
      </w:pPr>
      <w:r w:rsidRPr="00573701">
        <w:rPr>
          <w:rFonts w:asciiTheme="majorHAnsi" w:hAnsiTheme="majorHAnsi" w:cstheme="majorHAnsi"/>
          <w:sz w:val="24"/>
          <w:szCs w:val="24"/>
        </w:rPr>
        <w:t>We note that</w:t>
      </w:r>
      <w:r w:rsidR="005A39B4" w:rsidRPr="00573701">
        <w:rPr>
          <w:rFonts w:asciiTheme="majorHAnsi" w:hAnsiTheme="majorHAnsi" w:cstheme="majorHAnsi"/>
          <w:sz w:val="24"/>
          <w:szCs w:val="24"/>
        </w:rPr>
        <w:t xml:space="preserve"> </w:t>
      </w:r>
      <w:r w:rsidR="00C01194" w:rsidRPr="00573701">
        <w:rPr>
          <w:rFonts w:asciiTheme="majorHAnsi" w:hAnsiTheme="majorHAnsi" w:cstheme="majorHAnsi"/>
          <w:sz w:val="24"/>
          <w:szCs w:val="24"/>
        </w:rPr>
        <w:t xml:space="preserve">the issuance of 1/500 planning approval is required in order to obtain the IIA. </w:t>
      </w:r>
      <w:r w:rsidR="00EB7526" w:rsidRPr="00573701">
        <w:rPr>
          <w:rFonts w:asciiTheme="majorHAnsi" w:hAnsiTheme="majorHAnsi" w:cstheme="majorHAnsi"/>
          <w:sz w:val="24"/>
          <w:szCs w:val="24"/>
        </w:rPr>
        <w:t xml:space="preserve">Under the laws, </w:t>
      </w:r>
      <w:r w:rsidR="005A39B4" w:rsidRPr="00573701">
        <w:rPr>
          <w:rFonts w:asciiTheme="majorHAnsi" w:hAnsiTheme="majorHAnsi" w:cstheme="majorHAnsi"/>
          <w:sz w:val="24"/>
          <w:szCs w:val="24"/>
        </w:rPr>
        <w:t>capital contribution</w:t>
      </w:r>
      <w:r w:rsidRPr="00573701">
        <w:rPr>
          <w:rFonts w:asciiTheme="majorHAnsi" w:hAnsiTheme="majorHAnsi" w:cstheme="majorHAnsi"/>
          <w:sz w:val="24"/>
          <w:szCs w:val="24"/>
        </w:rPr>
        <w:t xml:space="preserve"> </w:t>
      </w:r>
      <w:r w:rsidR="00EF56DD" w:rsidRPr="00573701">
        <w:rPr>
          <w:rFonts w:asciiTheme="majorHAnsi" w:hAnsiTheme="majorHAnsi" w:cstheme="majorHAnsi"/>
          <w:sz w:val="24"/>
          <w:szCs w:val="24"/>
        </w:rPr>
        <w:t>by way of</w:t>
      </w:r>
      <w:r w:rsidRPr="00573701">
        <w:rPr>
          <w:rFonts w:asciiTheme="majorHAnsi" w:hAnsiTheme="majorHAnsi" w:cstheme="majorHAnsi"/>
          <w:sz w:val="24"/>
          <w:szCs w:val="24"/>
        </w:rPr>
        <w:t xml:space="preserve"> land use right</w:t>
      </w:r>
      <w:r w:rsidR="005A39B4" w:rsidRPr="00573701">
        <w:rPr>
          <w:rFonts w:asciiTheme="majorHAnsi" w:hAnsiTheme="majorHAnsi" w:cstheme="majorHAnsi"/>
          <w:sz w:val="24"/>
          <w:szCs w:val="24"/>
        </w:rPr>
        <w:t xml:space="preserve"> must be completed within 90 days as from the date of incorporation of </w:t>
      </w:r>
      <w:r w:rsidR="00976652" w:rsidRPr="00573701">
        <w:rPr>
          <w:rFonts w:asciiTheme="majorHAnsi" w:hAnsiTheme="majorHAnsi" w:cstheme="majorHAnsi"/>
          <w:sz w:val="24"/>
          <w:szCs w:val="24"/>
        </w:rPr>
        <w:t>an</w:t>
      </w:r>
      <w:r w:rsidR="005A39B4" w:rsidRPr="00573701">
        <w:rPr>
          <w:rFonts w:asciiTheme="majorHAnsi" w:hAnsiTheme="majorHAnsi" w:cstheme="majorHAnsi"/>
          <w:sz w:val="24"/>
          <w:szCs w:val="24"/>
        </w:rPr>
        <w:t xml:space="preserve"> enterprise</w:t>
      </w:r>
      <w:r w:rsidRPr="00573701">
        <w:rPr>
          <w:rFonts w:asciiTheme="majorHAnsi" w:hAnsiTheme="majorHAnsi" w:cstheme="majorHAnsi"/>
          <w:sz w:val="24"/>
          <w:szCs w:val="24"/>
        </w:rPr>
        <w:t xml:space="preserve"> whereas</w:t>
      </w:r>
      <w:r w:rsidR="005A39B4" w:rsidRPr="00573701">
        <w:rPr>
          <w:rFonts w:asciiTheme="majorHAnsi" w:hAnsiTheme="majorHAnsi" w:cstheme="majorHAnsi"/>
          <w:sz w:val="24"/>
          <w:szCs w:val="24"/>
        </w:rPr>
        <w:t xml:space="preserve"> </w:t>
      </w:r>
      <w:r w:rsidRPr="00573701">
        <w:rPr>
          <w:rFonts w:asciiTheme="majorHAnsi" w:hAnsiTheme="majorHAnsi" w:cstheme="majorHAnsi"/>
          <w:sz w:val="24"/>
          <w:szCs w:val="24"/>
        </w:rPr>
        <w:t>t</w:t>
      </w:r>
      <w:r w:rsidR="005A39B4" w:rsidRPr="00573701">
        <w:rPr>
          <w:rFonts w:asciiTheme="majorHAnsi" w:hAnsiTheme="majorHAnsi" w:cstheme="majorHAnsi"/>
          <w:sz w:val="24"/>
          <w:szCs w:val="24"/>
        </w:rPr>
        <w:t>he</w:t>
      </w:r>
      <w:r w:rsidRPr="00573701">
        <w:rPr>
          <w:rFonts w:asciiTheme="majorHAnsi" w:hAnsiTheme="majorHAnsi" w:cstheme="majorHAnsi"/>
          <w:sz w:val="24"/>
          <w:szCs w:val="24"/>
        </w:rPr>
        <w:t xml:space="preserve"> issuance of</w:t>
      </w:r>
      <w:r w:rsidR="005A39B4" w:rsidRPr="00573701">
        <w:rPr>
          <w:rFonts w:asciiTheme="majorHAnsi" w:hAnsiTheme="majorHAnsi" w:cstheme="majorHAnsi"/>
          <w:sz w:val="24"/>
          <w:szCs w:val="24"/>
        </w:rPr>
        <w:t xml:space="preserve"> 1/500 </w:t>
      </w:r>
      <w:r w:rsidR="00804AB5" w:rsidRPr="00573701">
        <w:rPr>
          <w:rFonts w:asciiTheme="majorHAnsi" w:hAnsiTheme="majorHAnsi" w:cstheme="majorHAnsi"/>
          <w:sz w:val="24"/>
          <w:szCs w:val="24"/>
        </w:rPr>
        <w:t>planning</w:t>
      </w:r>
      <w:r w:rsidR="005A39B4" w:rsidRPr="00573701">
        <w:rPr>
          <w:rFonts w:asciiTheme="majorHAnsi" w:hAnsiTheme="majorHAnsi" w:cstheme="majorHAnsi"/>
          <w:sz w:val="24"/>
          <w:szCs w:val="24"/>
        </w:rPr>
        <w:t xml:space="preserve"> approval</w:t>
      </w:r>
      <w:r w:rsidRPr="00573701">
        <w:rPr>
          <w:rFonts w:asciiTheme="majorHAnsi" w:hAnsiTheme="majorHAnsi" w:cstheme="majorHAnsi"/>
          <w:sz w:val="24"/>
          <w:szCs w:val="24"/>
        </w:rPr>
        <w:t xml:space="preserve"> </w:t>
      </w:r>
      <w:r w:rsidR="005A39B4" w:rsidRPr="00573701">
        <w:rPr>
          <w:rFonts w:asciiTheme="majorHAnsi" w:hAnsiTheme="majorHAnsi" w:cstheme="majorHAnsi"/>
          <w:sz w:val="24"/>
          <w:szCs w:val="24"/>
        </w:rPr>
        <w:t>will take at least 80 days. Therefore, it is unlikely that the developer can obtain the IIA</w:t>
      </w:r>
      <w:r w:rsidR="00976652" w:rsidRPr="00573701">
        <w:rPr>
          <w:rFonts w:asciiTheme="majorHAnsi" w:hAnsiTheme="majorHAnsi" w:cstheme="majorHAnsi"/>
          <w:sz w:val="24"/>
          <w:szCs w:val="24"/>
        </w:rPr>
        <w:t xml:space="preserve"> before the land use right </w:t>
      </w:r>
      <w:r w:rsidR="00EB7526" w:rsidRPr="00573701">
        <w:rPr>
          <w:rFonts w:asciiTheme="majorHAnsi" w:hAnsiTheme="majorHAnsi" w:cstheme="majorHAnsi"/>
          <w:sz w:val="24"/>
          <w:szCs w:val="24"/>
        </w:rPr>
        <w:t>is</w:t>
      </w:r>
      <w:r w:rsidR="00976652" w:rsidRPr="00573701">
        <w:rPr>
          <w:rFonts w:asciiTheme="majorHAnsi" w:hAnsiTheme="majorHAnsi" w:cstheme="majorHAnsi"/>
          <w:sz w:val="24"/>
          <w:szCs w:val="24"/>
        </w:rPr>
        <w:t xml:space="preserve"> contributed</w:t>
      </w:r>
      <w:r w:rsidR="005A39B4" w:rsidRPr="00573701">
        <w:rPr>
          <w:rFonts w:asciiTheme="majorHAnsi" w:hAnsiTheme="majorHAnsi" w:cstheme="majorHAnsi"/>
          <w:sz w:val="24"/>
          <w:szCs w:val="24"/>
        </w:rPr>
        <w:t xml:space="preserve">. </w:t>
      </w:r>
    </w:p>
    <w:p w:rsidR="00326348" w:rsidRDefault="00326348" w:rsidP="00326348">
      <w:pPr>
        <w:tabs>
          <w:tab w:val="left" w:pos="6390"/>
          <w:tab w:val="left" w:pos="7740"/>
          <w:tab w:val="left" w:pos="7830"/>
        </w:tabs>
        <w:spacing w:after="0" w:line="240" w:lineRule="auto"/>
        <w:ind w:left="-90"/>
        <w:jc w:val="both"/>
        <w:rPr>
          <w:rFonts w:asciiTheme="majorHAnsi" w:hAnsiTheme="majorHAnsi" w:cstheme="majorHAnsi"/>
          <w:sz w:val="24"/>
          <w:szCs w:val="24"/>
        </w:rPr>
      </w:pPr>
    </w:p>
    <w:p w:rsidR="00326348" w:rsidRDefault="00B927B7" w:rsidP="00326348">
      <w:pPr>
        <w:tabs>
          <w:tab w:val="left" w:pos="6390"/>
          <w:tab w:val="left" w:pos="7740"/>
          <w:tab w:val="left" w:pos="7830"/>
        </w:tabs>
        <w:spacing w:after="0" w:line="240" w:lineRule="auto"/>
        <w:ind w:left="-90"/>
        <w:jc w:val="both"/>
        <w:rPr>
          <w:rFonts w:asciiTheme="majorHAnsi" w:hAnsiTheme="majorHAnsi" w:cstheme="majorHAnsi"/>
          <w:sz w:val="24"/>
          <w:szCs w:val="24"/>
        </w:rPr>
      </w:pPr>
      <w:r w:rsidRPr="00573701">
        <w:rPr>
          <w:rFonts w:asciiTheme="majorHAnsi" w:hAnsiTheme="majorHAnsi" w:cstheme="majorHAnsi"/>
          <w:sz w:val="24"/>
          <w:szCs w:val="24"/>
        </w:rPr>
        <w:t>Under the Law on Construction 2014, generally, a developer must obtain a construction permit before it can commence its project.</w:t>
      </w:r>
      <w:r w:rsidR="008A665C" w:rsidRPr="00573701">
        <w:rPr>
          <w:rFonts w:asciiTheme="majorHAnsi" w:hAnsiTheme="majorHAnsi" w:cstheme="majorHAnsi"/>
          <w:sz w:val="24"/>
          <w:szCs w:val="24"/>
        </w:rPr>
        <w:t xml:space="preserve"> </w:t>
      </w:r>
      <w:r w:rsidR="00EB7526" w:rsidRPr="00573701">
        <w:rPr>
          <w:rFonts w:asciiTheme="majorHAnsi" w:hAnsiTheme="majorHAnsi" w:cstheme="majorHAnsi"/>
          <w:sz w:val="24"/>
          <w:szCs w:val="24"/>
        </w:rPr>
        <w:t>It is unclear whether</w:t>
      </w:r>
      <w:r w:rsidR="008A665C" w:rsidRPr="00573701">
        <w:rPr>
          <w:rFonts w:asciiTheme="majorHAnsi" w:hAnsiTheme="majorHAnsi" w:cstheme="majorHAnsi"/>
          <w:sz w:val="24"/>
          <w:szCs w:val="24"/>
        </w:rPr>
        <w:t xml:space="preserve"> an</w:t>
      </w:r>
      <w:r w:rsidR="005A39B4" w:rsidRPr="00573701">
        <w:rPr>
          <w:rFonts w:asciiTheme="majorHAnsi" w:hAnsiTheme="majorHAnsi" w:cstheme="majorHAnsi"/>
          <w:sz w:val="24"/>
          <w:szCs w:val="24"/>
        </w:rPr>
        <w:t xml:space="preserve"> IIA is required to obtain </w:t>
      </w:r>
      <w:r w:rsidRPr="00573701">
        <w:rPr>
          <w:rFonts w:asciiTheme="majorHAnsi" w:hAnsiTheme="majorHAnsi" w:cstheme="majorHAnsi"/>
          <w:sz w:val="24"/>
          <w:szCs w:val="24"/>
        </w:rPr>
        <w:t>the</w:t>
      </w:r>
      <w:r w:rsidR="008A665C" w:rsidRPr="00573701">
        <w:rPr>
          <w:rFonts w:asciiTheme="majorHAnsi" w:hAnsiTheme="majorHAnsi" w:cstheme="majorHAnsi"/>
          <w:sz w:val="24"/>
          <w:szCs w:val="24"/>
        </w:rPr>
        <w:t xml:space="preserve"> construction permit. Therefore,</w:t>
      </w:r>
      <w:r w:rsidR="00EB7526" w:rsidRPr="00573701">
        <w:rPr>
          <w:rFonts w:asciiTheme="majorHAnsi" w:hAnsiTheme="majorHAnsi" w:cstheme="majorHAnsi"/>
          <w:sz w:val="24"/>
          <w:szCs w:val="24"/>
        </w:rPr>
        <w:t xml:space="preserve"> if the IIA is required for the construction permit,</w:t>
      </w:r>
      <w:r w:rsidR="005A39B4" w:rsidRPr="00573701">
        <w:rPr>
          <w:rFonts w:asciiTheme="majorHAnsi" w:hAnsiTheme="majorHAnsi" w:cstheme="majorHAnsi"/>
          <w:sz w:val="24"/>
          <w:szCs w:val="24"/>
        </w:rPr>
        <w:t xml:space="preserve"> </w:t>
      </w:r>
      <w:r w:rsidR="00EB7526" w:rsidRPr="00573701">
        <w:rPr>
          <w:rFonts w:asciiTheme="majorHAnsi" w:hAnsiTheme="majorHAnsi" w:cstheme="majorHAnsi"/>
          <w:sz w:val="24"/>
          <w:szCs w:val="24"/>
        </w:rPr>
        <w:t xml:space="preserve">there is a risk that </w:t>
      </w:r>
      <w:r w:rsidR="005A39B4" w:rsidRPr="00573701">
        <w:rPr>
          <w:rFonts w:asciiTheme="majorHAnsi" w:hAnsiTheme="majorHAnsi" w:cstheme="majorHAnsi"/>
          <w:sz w:val="24"/>
          <w:szCs w:val="24"/>
        </w:rPr>
        <w:t xml:space="preserve">the developer </w:t>
      </w:r>
      <w:r w:rsidR="00EB7526" w:rsidRPr="00573701">
        <w:rPr>
          <w:rFonts w:asciiTheme="majorHAnsi" w:hAnsiTheme="majorHAnsi" w:cstheme="majorHAnsi"/>
          <w:sz w:val="24"/>
          <w:szCs w:val="24"/>
        </w:rPr>
        <w:t xml:space="preserve">may </w:t>
      </w:r>
      <w:r w:rsidR="005A39B4" w:rsidRPr="00573701">
        <w:rPr>
          <w:rFonts w:asciiTheme="majorHAnsi" w:hAnsiTheme="majorHAnsi" w:cstheme="majorHAnsi"/>
          <w:sz w:val="24"/>
          <w:szCs w:val="24"/>
        </w:rPr>
        <w:t xml:space="preserve">not be able to develop the project if it fails to obtain the IIA for whatever reason. As such, there may be circumstances where </w:t>
      </w:r>
      <w:r w:rsidR="008A665C" w:rsidRPr="00573701">
        <w:rPr>
          <w:rFonts w:asciiTheme="majorHAnsi" w:hAnsiTheme="majorHAnsi" w:cstheme="majorHAnsi"/>
          <w:sz w:val="24"/>
          <w:szCs w:val="24"/>
        </w:rPr>
        <w:t xml:space="preserve">the </w:t>
      </w:r>
      <w:r w:rsidR="005A39B4" w:rsidRPr="00573701">
        <w:rPr>
          <w:rFonts w:asciiTheme="majorHAnsi" w:hAnsiTheme="majorHAnsi" w:cstheme="majorHAnsi"/>
          <w:sz w:val="24"/>
          <w:szCs w:val="24"/>
        </w:rPr>
        <w:t xml:space="preserve">developers have the right to use the land but cannot develop projects on such land. </w:t>
      </w:r>
      <w:r w:rsidR="00EB7526" w:rsidRPr="00573701">
        <w:rPr>
          <w:rFonts w:asciiTheme="majorHAnsi" w:hAnsiTheme="majorHAnsi" w:cstheme="majorHAnsi"/>
          <w:sz w:val="24"/>
          <w:szCs w:val="24"/>
        </w:rPr>
        <w:t>However, i</w:t>
      </w:r>
      <w:r w:rsidR="005A39B4" w:rsidRPr="00573701">
        <w:rPr>
          <w:rFonts w:asciiTheme="majorHAnsi" w:hAnsiTheme="majorHAnsi" w:cstheme="majorHAnsi"/>
          <w:sz w:val="24"/>
          <w:szCs w:val="24"/>
        </w:rPr>
        <w:t xml:space="preserve">f the IID is required for capital contribution </w:t>
      </w:r>
      <w:r w:rsidRPr="00573701">
        <w:rPr>
          <w:rFonts w:asciiTheme="majorHAnsi" w:hAnsiTheme="majorHAnsi" w:cstheme="majorHAnsi"/>
          <w:sz w:val="24"/>
          <w:szCs w:val="24"/>
        </w:rPr>
        <w:t>by way of</w:t>
      </w:r>
      <w:r w:rsidR="005A39B4" w:rsidRPr="00573701">
        <w:rPr>
          <w:rFonts w:asciiTheme="majorHAnsi" w:hAnsiTheme="majorHAnsi" w:cstheme="majorHAnsi"/>
          <w:sz w:val="24"/>
          <w:szCs w:val="24"/>
        </w:rPr>
        <w:t xml:space="preserve"> land use right, it is unlikely that such circumstances will arise as the IID can be obtained before the land use right is contributed. As such, the foreign investor will have more assurance that it can develop the project </w:t>
      </w:r>
      <w:r w:rsidR="00EB7526" w:rsidRPr="00573701">
        <w:rPr>
          <w:rFonts w:asciiTheme="majorHAnsi" w:hAnsiTheme="majorHAnsi" w:cstheme="majorHAnsi"/>
          <w:sz w:val="24"/>
          <w:szCs w:val="24"/>
        </w:rPr>
        <w:t xml:space="preserve">before contributing </w:t>
      </w:r>
      <w:r w:rsidR="005A39B4" w:rsidRPr="00573701">
        <w:rPr>
          <w:rFonts w:asciiTheme="majorHAnsi" w:hAnsiTheme="majorHAnsi" w:cstheme="majorHAnsi"/>
          <w:sz w:val="24"/>
          <w:szCs w:val="24"/>
        </w:rPr>
        <w:t xml:space="preserve">the land use right. </w:t>
      </w:r>
    </w:p>
    <w:p w:rsidR="00326348" w:rsidRDefault="00326348" w:rsidP="00326348">
      <w:pPr>
        <w:tabs>
          <w:tab w:val="left" w:pos="6390"/>
          <w:tab w:val="left" w:pos="7740"/>
          <w:tab w:val="left" w:pos="7830"/>
        </w:tabs>
        <w:spacing w:after="0" w:line="240" w:lineRule="auto"/>
        <w:ind w:left="-90"/>
        <w:jc w:val="both"/>
        <w:rPr>
          <w:rFonts w:asciiTheme="majorHAnsi" w:hAnsiTheme="majorHAnsi" w:cstheme="majorHAnsi"/>
          <w:sz w:val="24"/>
          <w:szCs w:val="24"/>
        </w:rPr>
      </w:pPr>
    </w:p>
    <w:p w:rsidR="00326348" w:rsidRPr="00326348" w:rsidRDefault="005A39B4" w:rsidP="00326348">
      <w:pPr>
        <w:tabs>
          <w:tab w:val="left" w:pos="6390"/>
          <w:tab w:val="left" w:pos="7740"/>
          <w:tab w:val="left" w:pos="7830"/>
        </w:tabs>
        <w:spacing w:after="0" w:line="240" w:lineRule="auto"/>
        <w:ind w:left="-90"/>
        <w:jc w:val="both"/>
        <w:rPr>
          <w:rFonts w:asciiTheme="majorHAnsi" w:hAnsiTheme="majorHAnsi" w:cstheme="majorHAnsi"/>
          <w:b/>
          <w:i/>
          <w:sz w:val="24"/>
          <w:szCs w:val="24"/>
        </w:rPr>
      </w:pPr>
      <w:r w:rsidRPr="00326348">
        <w:rPr>
          <w:rFonts w:asciiTheme="majorHAnsi" w:hAnsiTheme="majorHAnsi" w:cstheme="majorHAnsi"/>
          <w:b/>
          <w:i/>
          <w:sz w:val="24"/>
          <w:szCs w:val="24"/>
        </w:rPr>
        <w:t xml:space="preserve">Recommendation: </w:t>
      </w:r>
    </w:p>
    <w:p w:rsidR="005A39B4" w:rsidRDefault="005A39B4" w:rsidP="00326348">
      <w:pPr>
        <w:tabs>
          <w:tab w:val="left" w:pos="6390"/>
          <w:tab w:val="left" w:pos="7740"/>
          <w:tab w:val="left" w:pos="7830"/>
        </w:tabs>
        <w:spacing w:after="0" w:line="240" w:lineRule="auto"/>
        <w:ind w:left="-90"/>
        <w:jc w:val="both"/>
        <w:rPr>
          <w:rFonts w:asciiTheme="majorHAnsi" w:hAnsiTheme="majorHAnsi" w:cstheme="majorHAnsi"/>
          <w:sz w:val="24"/>
          <w:szCs w:val="24"/>
        </w:rPr>
      </w:pPr>
      <w:r w:rsidRPr="00326348">
        <w:rPr>
          <w:rFonts w:asciiTheme="majorHAnsi" w:hAnsiTheme="majorHAnsi" w:cstheme="majorHAnsi"/>
          <w:sz w:val="24"/>
          <w:szCs w:val="24"/>
        </w:rPr>
        <w:t xml:space="preserve">We suggest </w:t>
      </w:r>
      <w:r w:rsidR="000E5332" w:rsidRPr="00326348">
        <w:rPr>
          <w:rFonts w:asciiTheme="majorHAnsi" w:hAnsiTheme="majorHAnsi" w:cstheme="majorHAnsi"/>
          <w:sz w:val="24"/>
          <w:szCs w:val="24"/>
        </w:rPr>
        <w:t xml:space="preserve">deleting the wording “allocated or leased by the State” in </w:t>
      </w:r>
      <w:r w:rsidRPr="00326348">
        <w:rPr>
          <w:rFonts w:asciiTheme="majorHAnsi" w:hAnsiTheme="majorHAnsi" w:cstheme="majorHAnsi"/>
          <w:sz w:val="24"/>
          <w:szCs w:val="24"/>
        </w:rPr>
        <w:t xml:space="preserve">Article 32.1(a) of the </w:t>
      </w:r>
      <w:r w:rsidR="00EF56DD" w:rsidRPr="00326348">
        <w:rPr>
          <w:rFonts w:asciiTheme="majorHAnsi" w:hAnsiTheme="majorHAnsi" w:cstheme="majorHAnsi"/>
          <w:sz w:val="24"/>
          <w:szCs w:val="24"/>
        </w:rPr>
        <w:t>LOI</w:t>
      </w:r>
      <w:r w:rsidR="000E5332" w:rsidRPr="00326348">
        <w:rPr>
          <w:rFonts w:asciiTheme="majorHAnsi" w:hAnsiTheme="majorHAnsi" w:cstheme="majorHAnsi"/>
          <w:sz w:val="24"/>
          <w:szCs w:val="24"/>
        </w:rPr>
        <w:t xml:space="preserve"> </w:t>
      </w:r>
      <w:r w:rsidRPr="00326348">
        <w:rPr>
          <w:rFonts w:asciiTheme="majorHAnsi" w:hAnsiTheme="majorHAnsi" w:cstheme="majorHAnsi"/>
          <w:sz w:val="24"/>
          <w:szCs w:val="24"/>
        </w:rPr>
        <w:t>as follows: “</w:t>
      </w:r>
      <w:r w:rsidRPr="00326348">
        <w:rPr>
          <w:rFonts w:asciiTheme="majorHAnsi" w:hAnsiTheme="majorHAnsi" w:cstheme="majorHAnsi"/>
          <w:i/>
          <w:sz w:val="24"/>
          <w:szCs w:val="24"/>
          <w:lang w:val="en-GB"/>
        </w:rPr>
        <w:t xml:space="preserve">Projects which the investors use the land </w:t>
      </w:r>
      <w:r w:rsidR="000E5332" w:rsidRPr="00326348">
        <w:rPr>
          <w:rFonts w:asciiTheme="majorHAnsi" w:hAnsiTheme="majorHAnsi" w:cstheme="majorHAnsi"/>
          <w:i/>
          <w:strike/>
          <w:sz w:val="24"/>
          <w:szCs w:val="24"/>
          <w:lang w:val="en-GB"/>
        </w:rPr>
        <w:t>allocated or leased by the State</w:t>
      </w:r>
      <w:r w:rsidR="000E5332" w:rsidRPr="00326348">
        <w:rPr>
          <w:rFonts w:asciiTheme="majorHAnsi" w:hAnsiTheme="majorHAnsi" w:cstheme="majorHAnsi"/>
          <w:i/>
          <w:sz w:val="24"/>
          <w:szCs w:val="24"/>
          <w:lang w:val="en-GB"/>
        </w:rPr>
        <w:t xml:space="preserve"> </w:t>
      </w:r>
      <w:r w:rsidRPr="00326348">
        <w:rPr>
          <w:rFonts w:asciiTheme="majorHAnsi" w:hAnsiTheme="majorHAnsi" w:cstheme="majorHAnsi"/>
          <w:i/>
          <w:sz w:val="24"/>
          <w:szCs w:val="24"/>
          <w:lang w:val="en-GB"/>
        </w:rPr>
        <w:t>without auction, tendering or transfer; and projects with a requirement for conversion of the land use purpose</w:t>
      </w:r>
      <w:r w:rsidRPr="00326348">
        <w:rPr>
          <w:rFonts w:asciiTheme="majorHAnsi" w:hAnsiTheme="majorHAnsi" w:cstheme="majorHAnsi"/>
          <w:i/>
          <w:sz w:val="24"/>
          <w:szCs w:val="24"/>
        </w:rPr>
        <w:t xml:space="preserve">”. </w:t>
      </w:r>
      <w:r w:rsidRPr="00326348">
        <w:rPr>
          <w:rFonts w:asciiTheme="majorHAnsi" w:hAnsiTheme="majorHAnsi" w:cstheme="majorHAnsi"/>
          <w:sz w:val="24"/>
          <w:szCs w:val="24"/>
        </w:rPr>
        <w:t>The IID should be required for projects in which investors receive land use right by way of capital contribution from third parties as opposed to the IIA requirement. This will mean that developers which receive land use right by way of capital contribution can proceed with an IID.</w:t>
      </w:r>
    </w:p>
    <w:p w:rsidR="001A1BFD" w:rsidRDefault="00326348" w:rsidP="00326348">
      <w:pPr>
        <w:tabs>
          <w:tab w:val="left" w:pos="6390"/>
          <w:tab w:val="left" w:pos="7740"/>
          <w:tab w:val="left" w:pos="7830"/>
        </w:tabs>
        <w:spacing w:after="0" w:line="240" w:lineRule="auto"/>
        <w:ind w:left="-90"/>
        <w:jc w:val="both"/>
        <w:rPr>
          <w:rFonts w:asciiTheme="majorHAnsi" w:hAnsiTheme="majorHAnsi" w:cstheme="majorHAnsi"/>
          <w:b/>
          <w:i/>
          <w:sz w:val="24"/>
          <w:szCs w:val="24"/>
        </w:rPr>
      </w:pPr>
      <w:r>
        <w:rPr>
          <w:rFonts w:asciiTheme="majorHAnsi" w:hAnsiTheme="majorHAnsi" w:cstheme="majorHAnsi"/>
          <w:b/>
          <w:i/>
          <w:sz w:val="24"/>
          <w:szCs w:val="24"/>
        </w:rPr>
        <w:lastRenderedPageBreak/>
        <w:t xml:space="preserve">5.3. </w:t>
      </w:r>
      <w:r w:rsidR="001A1BFD" w:rsidRPr="00326348">
        <w:rPr>
          <w:rFonts w:asciiTheme="majorHAnsi" w:hAnsiTheme="majorHAnsi" w:cstheme="majorHAnsi"/>
          <w:b/>
          <w:i/>
          <w:sz w:val="24"/>
          <w:szCs w:val="24"/>
        </w:rPr>
        <w:t>Overlapping investment approvals:</w:t>
      </w:r>
    </w:p>
    <w:p w:rsidR="00326348" w:rsidRPr="00326348" w:rsidRDefault="00326348" w:rsidP="00326348">
      <w:pPr>
        <w:tabs>
          <w:tab w:val="left" w:pos="6390"/>
          <w:tab w:val="left" w:pos="7740"/>
          <w:tab w:val="left" w:pos="7830"/>
        </w:tabs>
        <w:spacing w:after="0" w:line="240" w:lineRule="auto"/>
        <w:ind w:left="-90"/>
        <w:jc w:val="both"/>
        <w:rPr>
          <w:rFonts w:asciiTheme="majorHAnsi" w:hAnsiTheme="majorHAnsi" w:cstheme="majorHAnsi"/>
          <w:b/>
          <w:i/>
          <w:sz w:val="24"/>
          <w:szCs w:val="24"/>
        </w:rPr>
      </w:pPr>
    </w:p>
    <w:p w:rsidR="0007566A" w:rsidRPr="00573701" w:rsidRDefault="00FE1FFA" w:rsidP="00326348">
      <w:pPr>
        <w:tabs>
          <w:tab w:val="left" w:pos="6390"/>
          <w:tab w:val="left" w:pos="7740"/>
          <w:tab w:val="left" w:pos="7830"/>
        </w:tabs>
        <w:spacing w:after="0" w:line="240" w:lineRule="auto"/>
        <w:ind w:left="-90"/>
        <w:jc w:val="both"/>
        <w:rPr>
          <w:rFonts w:asciiTheme="majorHAnsi" w:hAnsiTheme="majorHAnsi" w:cstheme="majorHAnsi"/>
          <w:sz w:val="24"/>
          <w:szCs w:val="24"/>
        </w:rPr>
      </w:pPr>
      <w:r w:rsidRPr="00573701">
        <w:rPr>
          <w:rFonts w:asciiTheme="majorHAnsi" w:hAnsiTheme="majorHAnsi" w:cstheme="majorHAnsi"/>
          <w:sz w:val="24"/>
          <w:szCs w:val="24"/>
        </w:rPr>
        <w:t>As mentioned above, a</w:t>
      </w:r>
      <w:r w:rsidR="00EF298F" w:rsidRPr="00573701">
        <w:rPr>
          <w:rFonts w:asciiTheme="majorHAnsi" w:hAnsiTheme="majorHAnsi" w:cstheme="majorHAnsi"/>
          <w:sz w:val="24"/>
          <w:szCs w:val="24"/>
        </w:rPr>
        <w:t xml:space="preserve">part from the requirements of IID/IIA, the LOI also provides that a foreign investor who wishes to establish an enterprise in Vietnam </w:t>
      </w:r>
      <w:r w:rsidR="00E00AB0" w:rsidRPr="00573701">
        <w:rPr>
          <w:rFonts w:asciiTheme="majorHAnsi" w:hAnsiTheme="majorHAnsi" w:cstheme="majorHAnsi"/>
          <w:sz w:val="24"/>
          <w:szCs w:val="24"/>
        </w:rPr>
        <w:t>is required to</w:t>
      </w:r>
      <w:r w:rsidR="00EF298F" w:rsidRPr="00573701">
        <w:rPr>
          <w:rFonts w:asciiTheme="majorHAnsi" w:hAnsiTheme="majorHAnsi" w:cstheme="majorHAnsi"/>
          <w:sz w:val="24"/>
          <w:szCs w:val="24"/>
        </w:rPr>
        <w:t xml:space="preserve"> obtain an </w:t>
      </w:r>
      <w:r w:rsidR="00E00AB0" w:rsidRPr="00573701">
        <w:rPr>
          <w:rFonts w:asciiTheme="majorHAnsi" w:hAnsiTheme="majorHAnsi" w:cstheme="majorHAnsi"/>
          <w:sz w:val="24"/>
          <w:szCs w:val="24"/>
        </w:rPr>
        <w:t>IRC</w:t>
      </w:r>
      <w:r w:rsidR="00EF298F" w:rsidRPr="00573701">
        <w:rPr>
          <w:rFonts w:asciiTheme="majorHAnsi" w:hAnsiTheme="majorHAnsi" w:cstheme="majorHAnsi"/>
          <w:sz w:val="24"/>
          <w:szCs w:val="24"/>
        </w:rPr>
        <w:t>.</w:t>
      </w:r>
      <w:r w:rsidR="00E00AB0" w:rsidRPr="00573701">
        <w:rPr>
          <w:rFonts w:asciiTheme="majorHAnsi" w:hAnsiTheme="majorHAnsi" w:cstheme="majorHAnsi"/>
          <w:sz w:val="24"/>
          <w:szCs w:val="24"/>
        </w:rPr>
        <w:t xml:space="preserve"> </w:t>
      </w:r>
    </w:p>
    <w:p w:rsidR="001B753C" w:rsidRDefault="00E00AB0" w:rsidP="00326348">
      <w:pPr>
        <w:tabs>
          <w:tab w:val="left" w:pos="6390"/>
          <w:tab w:val="left" w:pos="7740"/>
          <w:tab w:val="left" w:pos="7830"/>
        </w:tabs>
        <w:spacing w:after="0" w:line="240" w:lineRule="auto"/>
        <w:ind w:left="-90"/>
        <w:jc w:val="both"/>
        <w:rPr>
          <w:rFonts w:asciiTheme="majorHAnsi" w:hAnsiTheme="majorHAnsi" w:cstheme="majorHAnsi"/>
          <w:sz w:val="24"/>
          <w:szCs w:val="24"/>
        </w:rPr>
      </w:pPr>
      <w:r w:rsidRPr="00573701">
        <w:rPr>
          <w:rFonts w:asciiTheme="majorHAnsi" w:hAnsiTheme="majorHAnsi" w:cstheme="majorHAnsi"/>
          <w:sz w:val="24"/>
          <w:szCs w:val="24"/>
        </w:rPr>
        <w:t xml:space="preserve">For projects which require the IID, the IRC will be issued automatically within 5 working days from the issuance of the IID. </w:t>
      </w:r>
      <w:r w:rsidR="00474306" w:rsidRPr="00573701">
        <w:rPr>
          <w:rFonts w:asciiTheme="majorHAnsi" w:hAnsiTheme="majorHAnsi" w:cstheme="majorHAnsi"/>
          <w:sz w:val="24"/>
          <w:szCs w:val="24"/>
        </w:rPr>
        <w:t xml:space="preserve">As the contents of the IID and IRC are similar and no additional document is required for issuance of the IRC, </w:t>
      </w:r>
      <w:r w:rsidR="0036018A" w:rsidRPr="00573701">
        <w:rPr>
          <w:rFonts w:asciiTheme="majorHAnsi" w:hAnsiTheme="majorHAnsi" w:cstheme="majorHAnsi"/>
          <w:sz w:val="24"/>
          <w:szCs w:val="24"/>
        </w:rPr>
        <w:t xml:space="preserve">the IRC </w:t>
      </w:r>
      <w:r w:rsidR="00B05C44" w:rsidRPr="00573701">
        <w:rPr>
          <w:rFonts w:asciiTheme="majorHAnsi" w:hAnsiTheme="majorHAnsi" w:cstheme="majorHAnsi"/>
          <w:sz w:val="24"/>
          <w:szCs w:val="24"/>
        </w:rPr>
        <w:t xml:space="preserve">is </w:t>
      </w:r>
      <w:r w:rsidR="00FD4E55" w:rsidRPr="00573701">
        <w:rPr>
          <w:rFonts w:asciiTheme="majorHAnsi" w:hAnsiTheme="majorHAnsi" w:cstheme="majorHAnsi"/>
          <w:sz w:val="24"/>
          <w:szCs w:val="24"/>
        </w:rPr>
        <w:t xml:space="preserve">not </w:t>
      </w:r>
      <w:r w:rsidR="0036018A" w:rsidRPr="00573701">
        <w:rPr>
          <w:rFonts w:asciiTheme="majorHAnsi" w:hAnsiTheme="majorHAnsi" w:cstheme="majorHAnsi"/>
          <w:sz w:val="24"/>
          <w:szCs w:val="24"/>
        </w:rPr>
        <w:t>necessary if the IID has already been issued.</w:t>
      </w:r>
    </w:p>
    <w:p w:rsidR="00326348" w:rsidRPr="00573701" w:rsidRDefault="00326348" w:rsidP="00326348">
      <w:pPr>
        <w:tabs>
          <w:tab w:val="left" w:pos="6390"/>
          <w:tab w:val="left" w:pos="7740"/>
          <w:tab w:val="left" w:pos="7830"/>
        </w:tabs>
        <w:spacing w:after="0" w:line="240" w:lineRule="auto"/>
        <w:ind w:left="-90"/>
        <w:jc w:val="both"/>
        <w:rPr>
          <w:rFonts w:asciiTheme="majorHAnsi" w:hAnsiTheme="majorHAnsi" w:cstheme="majorHAnsi"/>
          <w:sz w:val="24"/>
          <w:szCs w:val="24"/>
        </w:rPr>
      </w:pPr>
    </w:p>
    <w:p w:rsidR="00EF298F" w:rsidRDefault="00E00AB0" w:rsidP="00326348">
      <w:pPr>
        <w:tabs>
          <w:tab w:val="left" w:pos="6390"/>
          <w:tab w:val="left" w:pos="7740"/>
          <w:tab w:val="left" w:pos="7830"/>
        </w:tabs>
        <w:spacing w:after="0" w:line="240" w:lineRule="auto"/>
        <w:ind w:left="-90"/>
        <w:jc w:val="both"/>
        <w:rPr>
          <w:rFonts w:asciiTheme="majorHAnsi" w:hAnsiTheme="majorHAnsi" w:cstheme="majorHAnsi"/>
          <w:sz w:val="24"/>
          <w:szCs w:val="24"/>
        </w:rPr>
      </w:pPr>
      <w:r w:rsidRPr="00573701">
        <w:rPr>
          <w:rFonts w:asciiTheme="majorHAnsi" w:hAnsiTheme="majorHAnsi" w:cstheme="majorHAnsi"/>
          <w:sz w:val="24"/>
          <w:szCs w:val="24"/>
        </w:rPr>
        <w:t xml:space="preserve">For projects which require the IIA, </w:t>
      </w:r>
      <w:r w:rsidR="0007566A" w:rsidRPr="00573701">
        <w:rPr>
          <w:rFonts w:asciiTheme="majorHAnsi" w:hAnsiTheme="majorHAnsi" w:cstheme="majorHAnsi"/>
          <w:sz w:val="24"/>
          <w:szCs w:val="24"/>
        </w:rPr>
        <w:t xml:space="preserve">the foreign investor shall first obtain the IRC, set up an enterprise and then obtain the IIA later. As mentioned above, without the IIA, the developer will not be able to develop the project. Therefore, </w:t>
      </w:r>
      <w:r w:rsidR="00001D8E" w:rsidRPr="00573701">
        <w:rPr>
          <w:rFonts w:asciiTheme="majorHAnsi" w:hAnsiTheme="majorHAnsi" w:cstheme="majorHAnsi"/>
          <w:sz w:val="24"/>
          <w:szCs w:val="24"/>
        </w:rPr>
        <w:t xml:space="preserve">there may be cases where a foreign developer has already set up </w:t>
      </w:r>
      <w:r w:rsidR="0038128D" w:rsidRPr="00573701">
        <w:rPr>
          <w:rFonts w:asciiTheme="majorHAnsi" w:hAnsiTheme="majorHAnsi" w:cstheme="majorHAnsi"/>
          <w:sz w:val="24"/>
          <w:szCs w:val="24"/>
        </w:rPr>
        <w:t xml:space="preserve">an enterprise </w:t>
      </w:r>
      <w:r w:rsidR="00001D8E" w:rsidRPr="00573701">
        <w:rPr>
          <w:rFonts w:asciiTheme="majorHAnsi" w:hAnsiTheme="majorHAnsi" w:cstheme="majorHAnsi"/>
          <w:sz w:val="24"/>
          <w:szCs w:val="24"/>
        </w:rPr>
        <w:t xml:space="preserve">in Vietnam but is not able to develop the project if it fails to obtain the IIA for whatever reason. </w:t>
      </w:r>
      <w:r w:rsidR="001B753C" w:rsidRPr="00573701">
        <w:rPr>
          <w:rFonts w:asciiTheme="majorHAnsi" w:hAnsiTheme="majorHAnsi" w:cstheme="majorHAnsi"/>
          <w:sz w:val="24"/>
          <w:szCs w:val="24"/>
        </w:rPr>
        <w:t xml:space="preserve">Further, </w:t>
      </w:r>
      <w:r w:rsidR="00BC6E78" w:rsidRPr="00573701">
        <w:rPr>
          <w:rFonts w:asciiTheme="majorHAnsi" w:hAnsiTheme="majorHAnsi" w:cstheme="majorHAnsi"/>
          <w:sz w:val="24"/>
          <w:szCs w:val="24"/>
        </w:rPr>
        <w:t>from the date of issuance of the IRC, the foreign investor shall go through various steps which may take at least 153 days to obtain the IIA</w:t>
      </w:r>
      <w:r w:rsidR="001B753C" w:rsidRPr="00573701">
        <w:rPr>
          <w:rFonts w:asciiTheme="majorHAnsi" w:hAnsiTheme="majorHAnsi" w:cstheme="majorHAnsi"/>
          <w:sz w:val="24"/>
          <w:szCs w:val="24"/>
        </w:rPr>
        <w:t xml:space="preserve"> as follows:</w:t>
      </w:r>
    </w:p>
    <w:p w:rsidR="00326348" w:rsidRPr="00573701" w:rsidRDefault="00326348" w:rsidP="00326348">
      <w:pPr>
        <w:tabs>
          <w:tab w:val="left" w:pos="6390"/>
          <w:tab w:val="left" w:pos="7740"/>
          <w:tab w:val="left" w:pos="7830"/>
        </w:tabs>
        <w:spacing w:after="0" w:line="240" w:lineRule="auto"/>
        <w:ind w:left="-90"/>
        <w:jc w:val="both"/>
        <w:rPr>
          <w:rFonts w:asciiTheme="majorHAnsi" w:hAnsiTheme="majorHAnsi" w:cstheme="majorHAnsi"/>
          <w:sz w:val="24"/>
          <w:szCs w:val="24"/>
        </w:rPr>
      </w:pPr>
    </w:p>
    <w:p w:rsidR="001B753C" w:rsidRPr="00573701" w:rsidRDefault="001B753C" w:rsidP="00326348">
      <w:pPr>
        <w:pStyle w:val="ListParagraph"/>
        <w:widowControl w:val="0"/>
        <w:numPr>
          <w:ilvl w:val="0"/>
          <w:numId w:val="4"/>
        </w:numPr>
        <w:tabs>
          <w:tab w:val="left" w:pos="6390"/>
          <w:tab w:val="left" w:pos="7740"/>
          <w:tab w:val="left" w:pos="7830"/>
        </w:tabs>
        <w:spacing w:after="0" w:line="240" w:lineRule="auto"/>
        <w:ind w:left="270"/>
        <w:contextualSpacing w:val="0"/>
        <w:jc w:val="both"/>
        <w:rPr>
          <w:rFonts w:asciiTheme="majorHAnsi" w:hAnsiTheme="majorHAnsi" w:cstheme="majorHAnsi"/>
          <w:sz w:val="24"/>
          <w:szCs w:val="24"/>
        </w:rPr>
      </w:pPr>
      <w:r w:rsidRPr="00573701">
        <w:rPr>
          <w:rFonts w:asciiTheme="majorHAnsi" w:hAnsiTheme="majorHAnsi" w:cstheme="majorHAnsi"/>
          <w:sz w:val="24"/>
          <w:szCs w:val="24"/>
        </w:rPr>
        <w:t xml:space="preserve">Step 1: </w:t>
      </w:r>
      <w:r w:rsidR="00220C51" w:rsidRPr="00573701">
        <w:rPr>
          <w:rFonts w:asciiTheme="majorHAnsi" w:hAnsiTheme="majorHAnsi" w:cstheme="majorHAnsi"/>
          <w:sz w:val="24"/>
          <w:szCs w:val="24"/>
        </w:rPr>
        <w:t xml:space="preserve">obtaining the IRC </w:t>
      </w:r>
      <w:r w:rsidR="00A07125" w:rsidRPr="00573701">
        <w:rPr>
          <w:rFonts w:asciiTheme="majorHAnsi" w:hAnsiTheme="majorHAnsi" w:cstheme="majorHAnsi"/>
          <w:sz w:val="24"/>
          <w:szCs w:val="24"/>
        </w:rPr>
        <w:t>–</w:t>
      </w:r>
      <w:r w:rsidR="00220C51" w:rsidRPr="00573701">
        <w:rPr>
          <w:rFonts w:asciiTheme="majorHAnsi" w:hAnsiTheme="majorHAnsi" w:cstheme="majorHAnsi"/>
          <w:sz w:val="24"/>
          <w:szCs w:val="24"/>
        </w:rPr>
        <w:t xml:space="preserve"> 15 days;</w:t>
      </w:r>
    </w:p>
    <w:p w:rsidR="00220C51" w:rsidRPr="00573701" w:rsidRDefault="00220C51" w:rsidP="00326348">
      <w:pPr>
        <w:pStyle w:val="ListParagraph"/>
        <w:widowControl w:val="0"/>
        <w:numPr>
          <w:ilvl w:val="0"/>
          <w:numId w:val="4"/>
        </w:numPr>
        <w:tabs>
          <w:tab w:val="left" w:pos="6390"/>
          <w:tab w:val="left" w:pos="7740"/>
          <w:tab w:val="left" w:pos="7830"/>
        </w:tabs>
        <w:spacing w:after="0" w:line="240" w:lineRule="auto"/>
        <w:ind w:left="270"/>
        <w:contextualSpacing w:val="0"/>
        <w:jc w:val="both"/>
        <w:rPr>
          <w:rFonts w:asciiTheme="majorHAnsi" w:hAnsiTheme="majorHAnsi" w:cstheme="majorHAnsi"/>
          <w:sz w:val="24"/>
          <w:szCs w:val="24"/>
        </w:rPr>
      </w:pPr>
      <w:r w:rsidRPr="00573701">
        <w:rPr>
          <w:rFonts w:asciiTheme="majorHAnsi" w:hAnsiTheme="majorHAnsi" w:cstheme="majorHAnsi"/>
          <w:sz w:val="24"/>
          <w:szCs w:val="24"/>
        </w:rPr>
        <w:t>Step 2: obtaining an enterprise registration certificate – 3 working days;</w:t>
      </w:r>
    </w:p>
    <w:p w:rsidR="00220C51" w:rsidRPr="00573701" w:rsidRDefault="00220C51" w:rsidP="00326348">
      <w:pPr>
        <w:pStyle w:val="ListParagraph"/>
        <w:widowControl w:val="0"/>
        <w:numPr>
          <w:ilvl w:val="0"/>
          <w:numId w:val="4"/>
        </w:numPr>
        <w:tabs>
          <w:tab w:val="left" w:pos="6390"/>
          <w:tab w:val="left" w:pos="7740"/>
          <w:tab w:val="left" w:pos="7830"/>
        </w:tabs>
        <w:spacing w:after="0" w:line="240" w:lineRule="auto"/>
        <w:ind w:left="270"/>
        <w:contextualSpacing w:val="0"/>
        <w:jc w:val="both"/>
        <w:rPr>
          <w:rFonts w:asciiTheme="majorHAnsi" w:hAnsiTheme="majorHAnsi" w:cstheme="majorHAnsi"/>
          <w:sz w:val="24"/>
          <w:szCs w:val="24"/>
        </w:rPr>
      </w:pPr>
      <w:r w:rsidRPr="00573701">
        <w:rPr>
          <w:rFonts w:asciiTheme="majorHAnsi" w:hAnsiTheme="majorHAnsi" w:cstheme="majorHAnsi"/>
          <w:sz w:val="24"/>
          <w:szCs w:val="24"/>
        </w:rPr>
        <w:t xml:space="preserve">Step 3: obtaining </w:t>
      </w:r>
      <w:r w:rsidR="00D623D6" w:rsidRPr="00573701">
        <w:rPr>
          <w:rFonts w:asciiTheme="majorHAnsi" w:hAnsiTheme="majorHAnsi" w:cstheme="majorHAnsi"/>
          <w:sz w:val="24"/>
          <w:szCs w:val="24"/>
        </w:rPr>
        <w:t>a decision on selection of developer – at least 30 days;</w:t>
      </w:r>
    </w:p>
    <w:p w:rsidR="00804AB5" w:rsidRPr="00573701" w:rsidRDefault="00804AB5" w:rsidP="00326348">
      <w:pPr>
        <w:pStyle w:val="ListParagraph"/>
        <w:widowControl w:val="0"/>
        <w:numPr>
          <w:ilvl w:val="0"/>
          <w:numId w:val="4"/>
        </w:numPr>
        <w:tabs>
          <w:tab w:val="left" w:pos="6390"/>
          <w:tab w:val="left" w:pos="7740"/>
          <w:tab w:val="left" w:pos="7830"/>
        </w:tabs>
        <w:spacing w:after="0" w:line="240" w:lineRule="auto"/>
        <w:ind w:left="270"/>
        <w:contextualSpacing w:val="0"/>
        <w:jc w:val="both"/>
        <w:rPr>
          <w:rFonts w:asciiTheme="majorHAnsi" w:hAnsiTheme="majorHAnsi" w:cstheme="majorHAnsi"/>
          <w:sz w:val="24"/>
          <w:szCs w:val="24"/>
        </w:rPr>
      </w:pPr>
      <w:r w:rsidRPr="00573701">
        <w:rPr>
          <w:rFonts w:asciiTheme="majorHAnsi" w:hAnsiTheme="majorHAnsi" w:cstheme="majorHAnsi"/>
          <w:sz w:val="24"/>
          <w:szCs w:val="24"/>
        </w:rPr>
        <w:t>Step 4: obtaining the 1/500 planning approval – at least 80 days;</w:t>
      </w:r>
    </w:p>
    <w:p w:rsidR="00D623D6" w:rsidRPr="00573701" w:rsidRDefault="00D623D6" w:rsidP="00326348">
      <w:pPr>
        <w:pStyle w:val="ListParagraph"/>
        <w:widowControl w:val="0"/>
        <w:numPr>
          <w:ilvl w:val="0"/>
          <w:numId w:val="4"/>
        </w:numPr>
        <w:tabs>
          <w:tab w:val="left" w:pos="6390"/>
          <w:tab w:val="left" w:pos="7740"/>
          <w:tab w:val="left" w:pos="7830"/>
        </w:tabs>
        <w:spacing w:after="0" w:line="240" w:lineRule="auto"/>
        <w:ind w:left="270"/>
        <w:contextualSpacing w:val="0"/>
        <w:jc w:val="both"/>
        <w:rPr>
          <w:rFonts w:asciiTheme="majorHAnsi" w:hAnsiTheme="majorHAnsi" w:cstheme="majorHAnsi"/>
          <w:sz w:val="24"/>
          <w:szCs w:val="24"/>
        </w:rPr>
      </w:pPr>
      <w:r w:rsidRPr="00573701">
        <w:rPr>
          <w:rFonts w:asciiTheme="majorHAnsi" w:hAnsiTheme="majorHAnsi" w:cstheme="majorHAnsi"/>
          <w:sz w:val="24"/>
          <w:szCs w:val="24"/>
        </w:rPr>
        <w:t xml:space="preserve">Step </w:t>
      </w:r>
      <w:r w:rsidR="00804AB5" w:rsidRPr="00573701">
        <w:rPr>
          <w:rFonts w:asciiTheme="majorHAnsi" w:hAnsiTheme="majorHAnsi" w:cstheme="majorHAnsi"/>
          <w:sz w:val="24"/>
          <w:szCs w:val="24"/>
        </w:rPr>
        <w:t>5</w:t>
      </w:r>
      <w:r w:rsidRPr="00573701">
        <w:rPr>
          <w:rFonts w:asciiTheme="majorHAnsi" w:hAnsiTheme="majorHAnsi" w:cstheme="majorHAnsi"/>
          <w:sz w:val="24"/>
          <w:szCs w:val="24"/>
        </w:rPr>
        <w:t xml:space="preserve">: obtaining the IIA – </w:t>
      </w:r>
      <w:r w:rsidR="00474306" w:rsidRPr="00573701">
        <w:rPr>
          <w:rFonts w:asciiTheme="majorHAnsi" w:hAnsiTheme="majorHAnsi" w:cstheme="majorHAnsi"/>
          <w:sz w:val="24"/>
          <w:szCs w:val="24"/>
        </w:rPr>
        <w:t xml:space="preserve">at least </w:t>
      </w:r>
      <w:r w:rsidRPr="00573701">
        <w:rPr>
          <w:rFonts w:asciiTheme="majorHAnsi" w:hAnsiTheme="majorHAnsi" w:cstheme="majorHAnsi"/>
          <w:sz w:val="24"/>
          <w:szCs w:val="24"/>
        </w:rPr>
        <w:t>40 days.</w:t>
      </w:r>
    </w:p>
    <w:p w:rsidR="00326348" w:rsidRDefault="00326348" w:rsidP="00326348">
      <w:pPr>
        <w:widowControl w:val="0"/>
        <w:tabs>
          <w:tab w:val="left" w:pos="1170"/>
          <w:tab w:val="left" w:pos="6390"/>
          <w:tab w:val="left" w:pos="7740"/>
          <w:tab w:val="left" w:pos="7830"/>
        </w:tabs>
        <w:spacing w:after="0" w:line="240" w:lineRule="auto"/>
        <w:jc w:val="both"/>
        <w:rPr>
          <w:rFonts w:asciiTheme="majorHAnsi" w:hAnsiTheme="majorHAnsi" w:cstheme="majorHAnsi"/>
          <w:sz w:val="24"/>
          <w:szCs w:val="24"/>
        </w:rPr>
      </w:pPr>
    </w:p>
    <w:p w:rsidR="007D1882" w:rsidRDefault="0036018A" w:rsidP="007D1882">
      <w:pPr>
        <w:tabs>
          <w:tab w:val="left" w:pos="6390"/>
          <w:tab w:val="left" w:pos="7740"/>
          <w:tab w:val="left" w:pos="7830"/>
        </w:tabs>
        <w:spacing w:after="0" w:line="240" w:lineRule="auto"/>
        <w:ind w:left="-90"/>
        <w:jc w:val="both"/>
        <w:rPr>
          <w:rFonts w:asciiTheme="majorHAnsi" w:hAnsiTheme="majorHAnsi" w:cstheme="majorHAnsi"/>
          <w:sz w:val="24"/>
          <w:szCs w:val="24"/>
        </w:rPr>
      </w:pPr>
      <w:r w:rsidRPr="00573701">
        <w:rPr>
          <w:rFonts w:asciiTheme="majorHAnsi" w:hAnsiTheme="majorHAnsi" w:cstheme="majorHAnsi"/>
          <w:sz w:val="24"/>
          <w:szCs w:val="24"/>
        </w:rPr>
        <w:t>As both the IRC and IIA deal with authorities’ approval for the project and the IIA is issued based on the 1/500 planning approval, it is unnecessary to require the foreign investor to obtain the IRC</w:t>
      </w:r>
      <w:r w:rsidR="00474306" w:rsidRPr="00573701">
        <w:rPr>
          <w:rFonts w:asciiTheme="majorHAnsi" w:hAnsiTheme="majorHAnsi" w:cstheme="majorHAnsi"/>
          <w:sz w:val="24"/>
          <w:szCs w:val="24"/>
        </w:rPr>
        <w:t xml:space="preserve"> for projects which require the IIA</w:t>
      </w:r>
      <w:r w:rsidRPr="00573701">
        <w:rPr>
          <w:rFonts w:asciiTheme="majorHAnsi" w:hAnsiTheme="majorHAnsi" w:cstheme="majorHAnsi"/>
          <w:sz w:val="24"/>
          <w:szCs w:val="24"/>
        </w:rPr>
        <w:t xml:space="preserve">. </w:t>
      </w:r>
    </w:p>
    <w:p w:rsidR="007D1882" w:rsidRDefault="007D1882" w:rsidP="007D1882">
      <w:pPr>
        <w:tabs>
          <w:tab w:val="left" w:pos="6390"/>
          <w:tab w:val="left" w:pos="7740"/>
          <w:tab w:val="left" w:pos="7830"/>
        </w:tabs>
        <w:spacing w:after="0" w:line="240" w:lineRule="auto"/>
        <w:ind w:left="-90"/>
        <w:jc w:val="both"/>
        <w:rPr>
          <w:rFonts w:asciiTheme="majorHAnsi" w:hAnsiTheme="majorHAnsi" w:cstheme="majorHAnsi"/>
          <w:sz w:val="24"/>
          <w:szCs w:val="24"/>
        </w:rPr>
      </w:pPr>
    </w:p>
    <w:p w:rsidR="007D1882" w:rsidRDefault="00B83EF3" w:rsidP="007D1882">
      <w:pPr>
        <w:tabs>
          <w:tab w:val="left" w:pos="6390"/>
          <w:tab w:val="left" w:pos="7740"/>
          <w:tab w:val="left" w:pos="7830"/>
        </w:tabs>
        <w:spacing w:after="0" w:line="240" w:lineRule="auto"/>
        <w:ind w:left="-90"/>
        <w:jc w:val="both"/>
        <w:rPr>
          <w:rFonts w:asciiTheme="majorHAnsi" w:hAnsiTheme="majorHAnsi" w:cstheme="majorHAnsi"/>
          <w:sz w:val="24"/>
          <w:szCs w:val="24"/>
        </w:rPr>
      </w:pPr>
      <w:r w:rsidRPr="00573701">
        <w:rPr>
          <w:rFonts w:asciiTheme="majorHAnsi" w:hAnsiTheme="majorHAnsi" w:cstheme="majorHAnsi"/>
          <w:sz w:val="24"/>
          <w:szCs w:val="24"/>
        </w:rPr>
        <w:t>Based on the above, the requirement of IRC for residential developments</w:t>
      </w:r>
      <w:r w:rsidR="00474306" w:rsidRPr="00573701">
        <w:rPr>
          <w:rFonts w:asciiTheme="majorHAnsi" w:hAnsiTheme="majorHAnsi" w:cstheme="majorHAnsi"/>
          <w:sz w:val="24"/>
          <w:szCs w:val="24"/>
        </w:rPr>
        <w:t xml:space="preserve"> (which require either IID or IIA)</w:t>
      </w:r>
      <w:r w:rsidRPr="00573701">
        <w:rPr>
          <w:rFonts w:asciiTheme="majorHAnsi" w:hAnsiTheme="majorHAnsi" w:cstheme="majorHAnsi"/>
          <w:sz w:val="24"/>
          <w:szCs w:val="24"/>
        </w:rPr>
        <w:t xml:space="preserve"> should be removed to lessen the procedural burden for foreign investors.</w:t>
      </w:r>
    </w:p>
    <w:p w:rsidR="007D1882" w:rsidRDefault="007D1882" w:rsidP="007D1882">
      <w:pPr>
        <w:tabs>
          <w:tab w:val="left" w:pos="6390"/>
          <w:tab w:val="left" w:pos="7740"/>
          <w:tab w:val="left" w:pos="7830"/>
        </w:tabs>
        <w:spacing w:after="0" w:line="240" w:lineRule="auto"/>
        <w:ind w:left="-90"/>
        <w:jc w:val="both"/>
        <w:rPr>
          <w:rFonts w:asciiTheme="majorHAnsi" w:hAnsiTheme="majorHAnsi" w:cstheme="majorHAnsi"/>
          <w:sz w:val="24"/>
          <w:szCs w:val="24"/>
        </w:rPr>
      </w:pPr>
    </w:p>
    <w:p w:rsidR="007D1882" w:rsidRDefault="00B83EF3" w:rsidP="007D1882">
      <w:pPr>
        <w:tabs>
          <w:tab w:val="left" w:pos="6390"/>
          <w:tab w:val="left" w:pos="7740"/>
          <w:tab w:val="left" w:pos="7830"/>
        </w:tabs>
        <w:spacing w:after="0" w:line="240" w:lineRule="auto"/>
        <w:ind w:left="-90"/>
        <w:jc w:val="both"/>
        <w:rPr>
          <w:rFonts w:asciiTheme="majorHAnsi" w:hAnsiTheme="majorHAnsi" w:cstheme="majorHAnsi"/>
          <w:i/>
          <w:sz w:val="24"/>
          <w:szCs w:val="24"/>
        </w:rPr>
      </w:pPr>
      <w:r w:rsidRPr="00326348">
        <w:rPr>
          <w:rFonts w:asciiTheme="majorHAnsi" w:hAnsiTheme="majorHAnsi" w:cstheme="majorHAnsi"/>
          <w:b/>
          <w:i/>
          <w:sz w:val="24"/>
          <w:szCs w:val="24"/>
        </w:rPr>
        <w:t>Recommendation:</w:t>
      </w:r>
    </w:p>
    <w:p w:rsidR="00B83EF3" w:rsidRDefault="00B83EF3" w:rsidP="007D1882">
      <w:pPr>
        <w:tabs>
          <w:tab w:val="left" w:pos="6390"/>
          <w:tab w:val="left" w:pos="7740"/>
          <w:tab w:val="left" w:pos="7830"/>
        </w:tabs>
        <w:spacing w:after="0" w:line="240" w:lineRule="auto"/>
        <w:ind w:left="-90"/>
        <w:jc w:val="both"/>
        <w:rPr>
          <w:rFonts w:asciiTheme="majorHAnsi" w:hAnsiTheme="majorHAnsi" w:cstheme="majorHAnsi"/>
          <w:sz w:val="24"/>
          <w:szCs w:val="24"/>
        </w:rPr>
      </w:pPr>
      <w:r w:rsidRPr="00573701">
        <w:rPr>
          <w:rFonts w:asciiTheme="majorHAnsi" w:hAnsiTheme="majorHAnsi" w:cstheme="majorHAnsi"/>
          <w:sz w:val="24"/>
          <w:szCs w:val="24"/>
        </w:rPr>
        <w:t xml:space="preserve">We would recommend that the IRC will not be required for real estate projects which are required to obtain either the IID or the IIA.  </w:t>
      </w:r>
    </w:p>
    <w:p w:rsidR="00326348" w:rsidRPr="00573701" w:rsidRDefault="00326348" w:rsidP="00326348">
      <w:pPr>
        <w:widowControl w:val="0"/>
        <w:tabs>
          <w:tab w:val="left" w:pos="1170"/>
          <w:tab w:val="left" w:pos="6390"/>
          <w:tab w:val="left" w:pos="7740"/>
          <w:tab w:val="left" w:pos="7830"/>
        </w:tabs>
        <w:spacing w:after="0" w:line="240" w:lineRule="auto"/>
        <w:jc w:val="both"/>
        <w:rPr>
          <w:rFonts w:asciiTheme="majorHAnsi" w:hAnsiTheme="majorHAnsi" w:cstheme="majorHAnsi"/>
          <w:sz w:val="24"/>
          <w:szCs w:val="24"/>
        </w:rPr>
      </w:pPr>
    </w:p>
    <w:p w:rsidR="007D1882" w:rsidRDefault="006D4B40" w:rsidP="007D1882">
      <w:pPr>
        <w:pStyle w:val="ListParagraph"/>
        <w:numPr>
          <w:ilvl w:val="0"/>
          <w:numId w:val="1"/>
        </w:numPr>
        <w:tabs>
          <w:tab w:val="left" w:pos="6390"/>
          <w:tab w:val="left" w:pos="7740"/>
          <w:tab w:val="left" w:pos="7830"/>
        </w:tabs>
        <w:spacing w:after="0" w:line="240" w:lineRule="auto"/>
        <w:ind w:hanging="450"/>
        <w:contextualSpacing w:val="0"/>
        <w:jc w:val="both"/>
        <w:rPr>
          <w:rFonts w:asciiTheme="majorHAnsi" w:hAnsiTheme="majorHAnsi" w:cstheme="majorHAnsi"/>
          <w:b/>
          <w:bCs/>
          <w:sz w:val="24"/>
          <w:szCs w:val="24"/>
          <w:lang w:val="en-GB"/>
        </w:rPr>
      </w:pPr>
      <w:r w:rsidRPr="00573701">
        <w:rPr>
          <w:rFonts w:asciiTheme="majorHAnsi" w:hAnsiTheme="majorHAnsi" w:cstheme="majorHAnsi"/>
          <w:b/>
          <w:bCs/>
          <w:sz w:val="24"/>
          <w:szCs w:val="24"/>
          <w:lang w:val="en-GB"/>
        </w:rPr>
        <w:t>Capital contribution in the form of land use right</w:t>
      </w:r>
    </w:p>
    <w:p w:rsidR="007D1882" w:rsidRDefault="007D1882" w:rsidP="007D1882">
      <w:pPr>
        <w:tabs>
          <w:tab w:val="left" w:pos="6390"/>
          <w:tab w:val="left" w:pos="7740"/>
          <w:tab w:val="left" w:pos="7830"/>
        </w:tabs>
        <w:spacing w:after="0" w:line="240" w:lineRule="auto"/>
        <w:ind w:left="-90"/>
        <w:jc w:val="both"/>
        <w:rPr>
          <w:rFonts w:asciiTheme="majorHAnsi" w:hAnsiTheme="majorHAnsi" w:cstheme="majorHAnsi"/>
          <w:sz w:val="24"/>
          <w:szCs w:val="24"/>
        </w:rPr>
      </w:pPr>
    </w:p>
    <w:p w:rsidR="007D1882" w:rsidRDefault="006D4B40" w:rsidP="007D1882">
      <w:pPr>
        <w:tabs>
          <w:tab w:val="left" w:pos="6390"/>
          <w:tab w:val="left" w:pos="7740"/>
          <w:tab w:val="left" w:pos="7830"/>
        </w:tabs>
        <w:spacing w:after="0" w:line="240" w:lineRule="auto"/>
        <w:ind w:left="-90"/>
        <w:jc w:val="both"/>
        <w:rPr>
          <w:rFonts w:asciiTheme="majorHAnsi" w:hAnsiTheme="majorHAnsi" w:cstheme="majorHAnsi"/>
          <w:b/>
          <w:bCs/>
          <w:sz w:val="24"/>
          <w:szCs w:val="24"/>
          <w:lang w:val="en-GB"/>
        </w:rPr>
      </w:pPr>
      <w:r w:rsidRPr="007D1882">
        <w:rPr>
          <w:rFonts w:asciiTheme="majorHAnsi" w:hAnsiTheme="majorHAnsi" w:cstheme="majorHAnsi"/>
          <w:sz w:val="24"/>
          <w:szCs w:val="24"/>
        </w:rPr>
        <w:t>Both Land Law and Law on Enterprise</w:t>
      </w:r>
      <w:r w:rsidR="00556709" w:rsidRPr="007D1882">
        <w:rPr>
          <w:rFonts w:asciiTheme="majorHAnsi" w:hAnsiTheme="majorHAnsi" w:cstheme="majorHAnsi"/>
          <w:sz w:val="24"/>
          <w:szCs w:val="24"/>
        </w:rPr>
        <w:t>s 2014</w:t>
      </w:r>
      <w:r w:rsidRPr="007D1882">
        <w:rPr>
          <w:rFonts w:asciiTheme="majorHAnsi" w:hAnsiTheme="majorHAnsi" w:cstheme="majorHAnsi"/>
          <w:sz w:val="24"/>
          <w:szCs w:val="24"/>
        </w:rPr>
        <w:t xml:space="preserve"> allow an individual to contribute</w:t>
      </w:r>
      <w:r w:rsidR="00D07841" w:rsidRPr="007D1882">
        <w:rPr>
          <w:rFonts w:asciiTheme="majorHAnsi" w:hAnsiTheme="majorHAnsi" w:cstheme="majorHAnsi"/>
          <w:sz w:val="24"/>
          <w:szCs w:val="24"/>
        </w:rPr>
        <w:t xml:space="preserve"> his land use right</w:t>
      </w:r>
      <w:r w:rsidR="001907F4" w:rsidRPr="007D1882">
        <w:rPr>
          <w:rFonts w:asciiTheme="majorHAnsi" w:hAnsiTheme="majorHAnsi" w:cstheme="majorHAnsi"/>
          <w:sz w:val="24"/>
          <w:szCs w:val="24"/>
        </w:rPr>
        <w:t xml:space="preserve"> with respect to a piece of land</w:t>
      </w:r>
      <w:r w:rsidR="00D07841" w:rsidRPr="007D1882">
        <w:rPr>
          <w:rFonts w:asciiTheme="majorHAnsi" w:hAnsiTheme="majorHAnsi" w:cstheme="majorHAnsi"/>
          <w:sz w:val="24"/>
          <w:szCs w:val="24"/>
        </w:rPr>
        <w:t xml:space="preserve"> as</w:t>
      </w:r>
      <w:r w:rsidRPr="007D1882">
        <w:rPr>
          <w:rFonts w:asciiTheme="majorHAnsi" w:hAnsiTheme="majorHAnsi" w:cstheme="majorHAnsi"/>
          <w:sz w:val="24"/>
          <w:szCs w:val="24"/>
        </w:rPr>
        <w:t xml:space="preserve"> capital to an enterprise</w:t>
      </w:r>
      <w:r w:rsidR="00D07841" w:rsidRPr="007D1882">
        <w:rPr>
          <w:rFonts w:asciiTheme="majorHAnsi" w:hAnsiTheme="majorHAnsi" w:cstheme="majorHAnsi"/>
          <w:sz w:val="24"/>
          <w:szCs w:val="24"/>
        </w:rPr>
        <w:t xml:space="preserve"> for a certain period of time (“</w:t>
      </w:r>
      <w:r w:rsidR="00D07841" w:rsidRPr="007D1882">
        <w:rPr>
          <w:rFonts w:asciiTheme="majorHAnsi" w:hAnsiTheme="majorHAnsi" w:cstheme="majorHAnsi"/>
          <w:b/>
          <w:sz w:val="24"/>
          <w:szCs w:val="24"/>
        </w:rPr>
        <w:t>Capital Contribution Term</w:t>
      </w:r>
      <w:r w:rsidR="00D07841" w:rsidRPr="007D1882">
        <w:rPr>
          <w:rFonts w:asciiTheme="majorHAnsi" w:hAnsiTheme="majorHAnsi" w:cstheme="majorHAnsi"/>
          <w:sz w:val="24"/>
          <w:szCs w:val="24"/>
        </w:rPr>
        <w:t xml:space="preserve">”) and the enterprise shall be issued with the LURC </w:t>
      </w:r>
      <w:r w:rsidR="005F0B5D" w:rsidRPr="007D1882">
        <w:rPr>
          <w:rFonts w:asciiTheme="majorHAnsi" w:hAnsiTheme="majorHAnsi" w:cstheme="majorHAnsi"/>
          <w:sz w:val="24"/>
          <w:szCs w:val="24"/>
        </w:rPr>
        <w:t>for</w:t>
      </w:r>
      <w:r w:rsidR="00D07841" w:rsidRPr="007D1882">
        <w:rPr>
          <w:rFonts w:asciiTheme="majorHAnsi" w:hAnsiTheme="majorHAnsi" w:cstheme="majorHAnsi"/>
          <w:sz w:val="24"/>
          <w:szCs w:val="24"/>
        </w:rPr>
        <w:t xml:space="preserve"> such land</w:t>
      </w:r>
      <w:r w:rsidR="001907F4" w:rsidRPr="007D1882">
        <w:rPr>
          <w:rFonts w:asciiTheme="majorHAnsi" w:hAnsiTheme="majorHAnsi" w:cstheme="majorHAnsi"/>
          <w:sz w:val="24"/>
          <w:szCs w:val="24"/>
        </w:rPr>
        <w:t xml:space="preserve"> based on the capital contribution agreement between such individual and the enterprise</w:t>
      </w:r>
      <w:r w:rsidRPr="007D1882">
        <w:rPr>
          <w:rFonts w:asciiTheme="majorHAnsi" w:hAnsiTheme="majorHAnsi" w:cstheme="majorHAnsi"/>
          <w:sz w:val="24"/>
          <w:szCs w:val="24"/>
        </w:rPr>
        <w:t xml:space="preserve">. </w:t>
      </w:r>
      <w:r w:rsidR="00D07841" w:rsidRPr="007D1882">
        <w:rPr>
          <w:rFonts w:asciiTheme="majorHAnsi" w:hAnsiTheme="majorHAnsi" w:cstheme="majorHAnsi"/>
          <w:sz w:val="24"/>
          <w:szCs w:val="24"/>
        </w:rPr>
        <w:t xml:space="preserve">After the Capital Contribution Term expires, the individual capital contributor </w:t>
      </w:r>
      <w:r w:rsidR="00BD4BFA" w:rsidRPr="007D1882">
        <w:rPr>
          <w:rFonts w:asciiTheme="majorHAnsi" w:hAnsiTheme="majorHAnsi" w:cstheme="majorHAnsi"/>
          <w:sz w:val="24"/>
          <w:szCs w:val="24"/>
        </w:rPr>
        <w:t xml:space="preserve">can </w:t>
      </w:r>
      <w:r w:rsidR="000E5332" w:rsidRPr="007D1882">
        <w:rPr>
          <w:rFonts w:asciiTheme="majorHAnsi" w:hAnsiTheme="majorHAnsi" w:cstheme="majorHAnsi"/>
          <w:sz w:val="24"/>
          <w:szCs w:val="24"/>
        </w:rPr>
        <w:t xml:space="preserve">take </w:t>
      </w:r>
      <w:r w:rsidR="00BD4BFA" w:rsidRPr="007D1882">
        <w:rPr>
          <w:rFonts w:asciiTheme="majorHAnsi" w:hAnsiTheme="majorHAnsi" w:cstheme="majorHAnsi"/>
          <w:sz w:val="24"/>
          <w:szCs w:val="24"/>
        </w:rPr>
        <w:t xml:space="preserve">back the land contributed to the enterprise. </w:t>
      </w:r>
      <w:r w:rsidR="00D07841" w:rsidRPr="007D1882">
        <w:rPr>
          <w:rFonts w:asciiTheme="majorHAnsi" w:hAnsiTheme="majorHAnsi" w:cstheme="majorHAnsi"/>
          <w:sz w:val="24"/>
          <w:szCs w:val="24"/>
        </w:rPr>
        <w:t xml:space="preserve"> </w:t>
      </w:r>
    </w:p>
    <w:p w:rsidR="007D1882" w:rsidRDefault="007D1882" w:rsidP="007D1882">
      <w:pPr>
        <w:tabs>
          <w:tab w:val="left" w:pos="6390"/>
          <w:tab w:val="left" w:pos="7740"/>
          <w:tab w:val="left" w:pos="7830"/>
        </w:tabs>
        <w:spacing w:after="0" w:line="240" w:lineRule="auto"/>
        <w:ind w:left="-90"/>
        <w:jc w:val="both"/>
        <w:rPr>
          <w:rFonts w:asciiTheme="majorHAnsi" w:hAnsiTheme="majorHAnsi" w:cstheme="majorHAnsi"/>
          <w:b/>
          <w:bCs/>
          <w:sz w:val="24"/>
          <w:szCs w:val="24"/>
          <w:lang w:val="en-GB"/>
        </w:rPr>
      </w:pPr>
    </w:p>
    <w:p w:rsidR="007D1882" w:rsidRDefault="006D4B40" w:rsidP="007D1882">
      <w:pPr>
        <w:tabs>
          <w:tab w:val="left" w:pos="6390"/>
          <w:tab w:val="left" w:pos="7740"/>
          <w:tab w:val="left" w:pos="7830"/>
        </w:tabs>
        <w:spacing w:after="0" w:line="240" w:lineRule="auto"/>
        <w:ind w:left="-90"/>
        <w:jc w:val="both"/>
        <w:rPr>
          <w:rFonts w:asciiTheme="majorHAnsi" w:hAnsiTheme="majorHAnsi" w:cstheme="majorHAnsi"/>
          <w:b/>
          <w:bCs/>
          <w:sz w:val="24"/>
          <w:szCs w:val="24"/>
          <w:lang w:val="en-GB"/>
        </w:rPr>
      </w:pPr>
      <w:r w:rsidRPr="00573701">
        <w:rPr>
          <w:rFonts w:asciiTheme="majorHAnsi" w:hAnsiTheme="majorHAnsi" w:cstheme="majorHAnsi"/>
          <w:sz w:val="24"/>
          <w:szCs w:val="24"/>
        </w:rPr>
        <w:t xml:space="preserve">However, under Article 80 of the Decree No. 43/2014/ND-CP </w:t>
      </w:r>
      <w:r w:rsidR="000F397F" w:rsidRPr="00573701">
        <w:rPr>
          <w:rFonts w:asciiTheme="majorHAnsi" w:hAnsiTheme="majorHAnsi" w:cstheme="majorHAnsi"/>
          <w:sz w:val="24"/>
          <w:szCs w:val="24"/>
        </w:rPr>
        <w:t xml:space="preserve">dated 15 May 2014 </w:t>
      </w:r>
      <w:r w:rsidRPr="00573701">
        <w:rPr>
          <w:rFonts w:asciiTheme="majorHAnsi" w:hAnsiTheme="majorHAnsi" w:cstheme="majorHAnsi"/>
          <w:sz w:val="24"/>
          <w:szCs w:val="24"/>
        </w:rPr>
        <w:t>guiding the Land Law (“</w:t>
      </w:r>
      <w:r w:rsidRPr="00573701">
        <w:rPr>
          <w:rFonts w:asciiTheme="majorHAnsi" w:hAnsiTheme="majorHAnsi" w:cstheme="majorHAnsi"/>
          <w:b/>
          <w:sz w:val="24"/>
          <w:szCs w:val="24"/>
        </w:rPr>
        <w:t>Decree 43</w:t>
      </w:r>
      <w:r w:rsidRPr="00573701">
        <w:rPr>
          <w:rFonts w:asciiTheme="majorHAnsi" w:hAnsiTheme="majorHAnsi" w:cstheme="majorHAnsi"/>
          <w:sz w:val="24"/>
          <w:szCs w:val="24"/>
        </w:rPr>
        <w:t xml:space="preserve">”), </w:t>
      </w:r>
      <w:r w:rsidR="000F397F" w:rsidRPr="00573701">
        <w:rPr>
          <w:rFonts w:asciiTheme="majorHAnsi" w:hAnsiTheme="majorHAnsi" w:cstheme="majorHAnsi"/>
          <w:sz w:val="24"/>
          <w:szCs w:val="24"/>
        </w:rPr>
        <w:t xml:space="preserve">capital contribution </w:t>
      </w:r>
      <w:r w:rsidR="00556709" w:rsidRPr="00573701">
        <w:rPr>
          <w:rFonts w:asciiTheme="majorHAnsi" w:hAnsiTheme="majorHAnsi" w:cstheme="majorHAnsi"/>
          <w:sz w:val="24"/>
          <w:szCs w:val="24"/>
        </w:rPr>
        <w:t>in</w:t>
      </w:r>
      <w:r w:rsidR="000F397F" w:rsidRPr="00573701">
        <w:rPr>
          <w:rFonts w:asciiTheme="majorHAnsi" w:hAnsiTheme="majorHAnsi" w:cstheme="majorHAnsi"/>
          <w:sz w:val="24"/>
          <w:szCs w:val="24"/>
        </w:rPr>
        <w:t xml:space="preserve"> form of land use right shall terminate if the individual capital contributor passes away</w:t>
      </w:r>
      <w:r w:rsidR="001907F4" w:rsidRPr="00573701">
        <w:rPr>
          <w:rFonts w:asciiTheme="majorHAnsi" w:hAnsiTheme="majorHAnsi" w:cstheme="majorHAnsi"/>
          <w:sz w:val="24"/>
          <w:szCs w:val="24"/>
        </w:rPr>
        <w:t>.</w:t>
      </w:r>
      <w:r w:rsidR="000F397F" w:rsidRPr="00573701">
        <w:rPr>
          <w:rFonts w:asciiTheme="majorHAnsi" w:hAnsiTheme="majorHAnsi" w:cstheme="majorHAnsi"/>
          <w:sz w:val="24"/>
          <w:szCs w:val="24"/>
        </w:rPr>
        <w:t xml:space="preserve"> Further, under the Civil Code 2015, a contract shall terminate if the individual entering into that contract passes away and that contract </w:t>
      </w:r>
      <w:r w:rsidR="005F0B5D" w:rsidRPr="00573701">
        <w:rPr>
          <w:rFonts w:asciiTheme="majorHAnsi" w:hAnsiTheme="majorHAnsi" w:cstheme="majorHAnsi"/>
          <w:sz w:val="24"/>
          <w:szCs w:val="24"/>
        </w:rPr>
        <w:t>is to be</w:t>
      </w:r>
      <w:r w:rsidR="000F397F" w:rsidRPr="00573701">
        <w:rPr>
          <w:rFonts w:asciiTheme="majorHAnsi" w:hAnsiTheme="majorHAnsi" w:cstheme="majorHAnsi"/>
          <w:sz w:val="24"/>
          <w:szCs w:val="24"/>
        </w:rPr>
        <w:t xml:space="preserve"> implemented by that individual. Therefore, there is an argument that </w:t>
      </w:r>
      <w:r w:rsidR="00914232" w:rsidRPr="00573701">
        <w:rPr>
          <w:rFonts w:asciiTheme="majorHAnsi" w:hAnsiTheme="majorHAnsi" w:cstheme="majorHAnsi"/>
          <w:sz w:val="24"/>
          <w:szCs w:val="24"/>
        </w:rPr>
        <w:t>if the individual capital contributor passes away, the capital contribution agreement between that individual and the enterprise will terminate</w:t>
      </w:r>
      <w:r w:rsidR="001907F4" w:rsidRPr="00573701">
        <w:rPr>
          <w:rFonts w:asciiTheme="majorHAnsi" w:hAnsiTheme="majorHAnsi" w:cstheme="majorHAnsi"/>
          <w:sz w:val="24"/>
          <w:szCs w:val="24"/>
        </w:rPr>
        <w:t xml:space="preserve">. Given that the LURC in the enterprise’s name is issued based on the </w:t>
      </w:r>
      <w:r w:rsidR="001907F4" w:rsidRPr="00573701">
        <w:rPr>
          <w:rFonts w:asciiTheme="majorHAnsi" w:hAnsiTheme="majorHAnsi" w:cstheme="majorHAnsi"/>
          <w:sz w:val="24"/>
          <w:szCs w:val="24"/>
        </w:rPr>
        <w:lastRenderedPageBreak/>
        <w:t xml:space="preserve">capital contribution agreement, if that agreement terminates, </w:t>
      </w:r>
      <w:r w:rsidR="00914232" w:rsidRPr="00573701">
        <w:rPr>
          <w:rFonts w:asciiTheme="majorHAnsi" w:hAnsiTheme="majorHAnsi" w:cstheme="majorHAnsi"/>
          <w:sz w:val="24"/>
          <w:szCs w:val="24"/>
        </w:rPr>
        <w:t xml:space="preserve">the enterprise’s right to use the land will be affected. </w:t>
      </w:r>
    </w:p>
    <w:p w:rsidR="007D1882" w:rsidRDefault="00556709" w:rsidP="007D1882">
      <w:pPr>
        <w:tabs>
          <w:tab w:val="left" w:pos="6390"/>
          <w:tab w:val="left" w:pos="7740"/>
          <w:tab w:val="left" w:pos="7830"/>
        </w:tabs>
        <w:spacing w:after="0" w:line="240" w:lineRule="auto"/>
        <w:ind w:left="-90"/>
        <w:jc w:val="both"/>
        <w:rPr>
          <w:rFonts w:asciiTheme="majorHAnsi" w:hAnsiTheme="majorHAnsi" w:cstheme="majorHAnsi"/>
          <w:b/>
          <w:bCs/>
          <w:sz w:val="24"/>
          <w:szCs w:val="24"/>
          <w:lang w:val="en-GB"/>
        </w:rPr>
      </w:pPr>
      <w:r w:rsidRPr="00573701">
        <w:rPr>
          <w:rFonts w:asciiTheme="majorHAnsi" w:hAnsiTheme="majorHAnsi" w:cstheme="majorHAnsi"/>
          <w:sz w:val="24"/>
          <w:szCs w:val="24"/>
        </w:rPr>
        <w:t>We note that under the Law on Enterprises 2014, a party contributing land use right to an enterprise shall carry out the procedure to transfer the right to use the land to that enterprise. If the individual contributes his land use right as capital to the enterprise, such enterprise will have the right over the land. Therefore, Article 80 of Decree 43 has caused confusion</w:t>
      </w:r>
      <w:r w:rsidR="001907F4" w:rsidRPr="00573701">
        <w:rPr>
          <w:rFonts w:asciiTheme="majorHAnsi" w:hAnsiTheme="majorHAnsi" w:cstheme="majorHAnsi"/>
          <w:sz w:val="24"/>
          <w:szCs w:val="24"/>
        </w:rPr>
        <w:t xml:space="preserve"> and uncertainty</w:t>
      </w:r>
      <w:r w:rsidRPr="00573701">
        <w:rPr>
          <w:rFonts w:asciiTheme="majorHAnsi" w:hAnsiTheme="majorHAnsi" w:cstheme="majorHAnsi"/>
          <w:sz w:val="24"/>
          <w:szCs w:val="24"/>
        </w:rPr>
        <w:t xml:space="preserve"> for developers when they consider the option to receive capital contribution in form of land use right from individual.</w:t>
      </w:r>
    </w:p>
    <w:p w:rsidR="007D1882" w:rsidRDefault="007D1882" w:rsidP="007D1882">
      <w:pPr>
        <w:tabs>
          <w:tab w:val="left" w:pos="6390"/>
          <w:tab w:val="left" w:pos="7740"/>
          <w:tab w:val="left" w:pos="7830"/>
        </w:tabs>
        <w:spacing w:after="0" w:line="240" w:lineRule="auto"/>
        <w:ind w:left="-90"/>
        <w:jc w:val="both"/>
        <w:rPr>
          <w:rFonts w:asciiTheme="majorHAnsi" w:hAnsiTheme="majorHAnsi" w:cstheme="majorHAnsi"/>
          <w:b/>
          <w:bCs/>
          <w:sz w:val="24"/>
          <w:szCs w:val="24"/>
          <w:lang w:val="en-GB"/>
        </w:rPr>
      </w:pPr>
    </w:p>
    <w:p w:rsidR="007D1882" w:rsidRDefault="006D4B40" w:rsidP="007D1882">
      <w:pPr>
        <w:tabs>
          <w:tab w:val="left" w:pos="6390"/>
          <w:tab w:val="left" w:pos="7740"/>
          <w:tab w:val="left" w:pos="7830"/>
        </w:tabs>
        <w:spacing w:after="0" w:line="240" w:lineRule="auto"/>
        <w:ind w:left="-90"/>
        <w:jc w:val="both"/>
        <w:rPr>
          <w:rFonts w:asciiTheme="majorHAnsi" w:hAnsiTheme="majorHAnsi" w:cstheme="majorHAnsi"/>
          <w:b/>
          <w:bCs/>
          <w:sz w:val="24"/>
          <w:szCs w:val="24"/>
          <w:lang w:val="en-GB"/>
        </w:rPr>
      </w:pPr>
      <w:r w:rsidRPr="00326348">
        <w:rPr>
          <w:rFonts w:asciiTheme="majorHAnsi" w:hAnsiTheme="majorHAnsi" w:cstheme="majorHAnsi"/>
          <w:b/>
          <w:i/>
          <w:sz w:val="24"/>
          <w:szCs w:val="24"/>
        </w:rPr>
        <w:t>Recommendation</w:t>
      </w:r>
      <w:r w:rsidR="00B7253D">
        <w:rPr>
          <w:rFonts w:asciiTheme="majorHAnsi" w:hAnsiTheme="majorHAnsi" w:cstheme="majorHAnsi"/>
          <w:b/>
          <w:i/>
          <w:sz w:val="24"/>
          <w:szCs w:val="24"/>
        </w:rPr>
        <w:t>s</w:t>
      </w:r>
      <w:r w:rsidRPr="00326348">
        <w:rPr>
          <w:rFonts w:asciiTheme="majorHAnsi" w:hAnsiTheme="majorHAnsi" w:cstheme="majorHAnsi"/>
          <w:b/>
          <w:i/>
          <w:sz w:val="24"/>
          <w:szCs w:val="24"/>
        </w:rPr>
        <w:t>:</w:t>
      </w:r>
      <w:r w:rsidRPr="00326348">
        <w:rPr>
          <w:rFonts w:asciiTheme="majorHAnsi" w:hAnsiTheme="majorHAnsi" w:cstheme="majorHAnsi"/>
          <w:i/>
          <w:sz w:val="24"/>
          <w:szCs w:val="24"/>
        </w:rPr>
        <w:t xml:space="preserve"> </w:t>
      </w:r>
    </w:p>
    <w:p w:rsidR="00556709" w:rsidRPr="007D1882" w:rsidRDefault="00556709" w:rsidP="007D1882">
      <w:pPr>
        <w:tabs>
          <w:tab w:val="left" w:pos="6390"/>
          <w:tab w:val="left" w:pos="7740"/>
          <w:tab w:val="left" w:pos="7830"/>
        </w:tabs>
        <w:spacing w:after="0" w:line="240" w:lineRule="auto"/>
        <w:ind w:left="-90"/>
        <w:jc w:val="both"/>
        <w:rPr>
          <w:rFonts w:asciiTheme="majorHAnsi" w:hAnsiTheme="majorHAnsi" w:cstheme="majorHAnsi"/>
          <w:b/>
          <w:bCs/>
          <w:sz w:val="24"/>
          <w:szCs w:val="24"/>
          <w:lang w:val="en-GB"/>
        </w:rPr>
      </w:pPr>
      <w:r w:rsidRPr="00326348">
        <w:rPr>
          <w:rFonts w:asciiTheme="majorHAnsi" w:hAnsiTheme="majorHAnsi" w:cstheme="majorHAnsi"/>
          <w:sz w:val="24"/>
          <w:szCs w:val="24"/>
        </w:rPr>
        <w:t>We would recommend</w:t>
      </w:r>
      <w:r w:rsidR="000A2AEB" w:rsidRPr="00326348">
        <w:rPr>
          <w:rFonts w:asciiTheme="majorHAnsi" w:hAnsiTheme="majorHAnsi" w:cstheme="majorHAnsi"/>
          <w:sz w:val="24"/>
          <w:szCs w:val="24"/>
        </w:rPr>
        <w:t xml:space="preserve"> removing the circumstance whereby</w:t>
      </w:r>
      <w:r w:rsidRPr="00326348">
        <w:rPr>
          <w:rFonts w:asciiTheme="majorHAnsi" w:hAnsiTheme="majorHAnsi" w:cstheme="majorHAnsi"/>
          <w:sz w:val="24"/>
          <w:szCs w:val="24"/>
        </w:rPr>
        <w:t xml:space="preserve"> </w:t>
      </w:r>
      <w:r w:rsidR="000A2AEB" w:rsidRPr="00326348">
        <w:rPr>
          <w:rFonts w:asciiTheme="majorHAnsi" w:hAnsiTheme="majorHAnsi" w:cstheme="majorHAnsi"/>
          <w:sz w:val="24"/>
          <w:szCs w:val="24"/>
        </w:rPr>
        <w:t>the capital contribution in form of land use right shall terminate if the individual capital contributor passes away.</w:t>
      </w:r>
    </w:p>
    <w:p w:rsidR="00326348" w:rsidRPr="00326348" w:rsidRDefault="00326348" w:rsidP="00326348">
      <w:pPr>
        <w:tabs>
          <w:tab w:val="left" w:pos="1170"/>
          <w:tab w:val="left" w:pos="6390"/>
          <w:tab w:val="left" w:pos="7740"/>
          <w:tab w:val="left" w:pos="7830"/>
        </w:tabs>
        <w:spacing w:after="0" w:line="240" w:lineRule="auto"/>
        <w:jc w:val="both"/>
        <w:rPr>
          <w:rFonts w:asciiTheme="majorHAnsi" w:hAnsiTheme="majorHAnsi" w:cstheme="majorHAnsi"/>
          <w:sz w:val="24"/>
          <w:szCs w:val="24"/>
        </w:rPr>
      </w:pPr>
    </w:p>
    <w:p w:rsidR="00326348" w:rsidRPr="00326348" w:rsidRDefault="003827D1" w:rsidP="00326348">
      <w:pPr>
        <w:pStyle w:val="ListParagraph"/>
        <w:numPr>
          <w:ilvl w:val="0"/>
          <w:numId w:val="1"/>
        </w:numPr>
        <w:tabs>
          <w:tab w:val="left" w:pos="6390"/>
          <w:tab w:val="left" w:pos="7740"/>
          <w:tab w:val="left" w:pos="7830"/>
        </w:tabs>
        <w:spacing w:after="0" w:line="240" w:lineRule="auto"/>
        <w:ind w:hanging="450"/>
        <w:contextualSpacing w:val="0"/>
        <w:jc w:val="both"/>
        <w:rPr>
          <w:rFonts w:asciiTheme="majorHAnsi" w:hAnsiTheme="majorHAnsi" w:cstheme="majorHAnsi"/>
          <w:b/>
          <w:sz w:val="24"/>
          <w:szCs w:val="24"/>
          <w:u w:val="single"/>
        </w:rPr>
      </w:pPr>
      <w:r w:rsidRPr="00573701">
        <w:rPr>
          <w:rFonts w:asciiTheme="majorHAnsi" w:hAnsiTheme="majorHAnsi" w:cstheme="majorHAnsi"/>
          <w:b/>
          <w:bCs/>
          <w:sz w:val="24"/>
          <w:szCs w:val="24"/>
          <w:lang w:val="en-GB"/>
        </w:rPr>
        <w:t>Conducting</w:t>
      </w:r>
      <w:r w:rsidR="006D4B40" w:rsidRPr="00573701">
        <w:rPr>
          <w:rFonts w:asciiTheme="majorHAnsi" w:hAnsiTheme="majorHAnsi" w:cstheme="majorHAnsi"/>
          <w:b/>
          <w:bCs/>
          <w:sz w:val="24"/>
          <w:szCs w:val="24"/>
          <w:lang w:val="en-GB"/>
        </w:rPr>
        <w:t xml:space="preserve"> real estate business </w:t>
      </w:r>
      <w:r w:rsidRPr="00573701">
        <w:rPr>
          <w:rFonts w:asciiTheme="majorHAnsi" w:hAnsiTheme="majorHAnsi" w:cstheme="majorHAnsi"/>
          <w:b/>
          <w:bCs/>
          <w:sz w:val="24"/>
          <w:szCs w:val="24"/>
          <w:lang w:val="en-GB"/>
        </w:rPr>
        <w:t>on land contributed as capital</w:t>
      </w:r>
    </w:p>
    <w:p w:rsidR="00326348" w:rsidRDefault="00326348" w:rsidP="00326348">
      <w:pPr>
        <w:tabs>
          <w:tab w:val="left" w:pos="6390"/>
          <w:tab w:val="left" w:pos="7740"/>
          <w:tab w:val="left" w:pos="7830"/>
        </w:tabs>
        <w:spacing w:after="0" w:line="240" w:lineRule="auto"/>
        <w:ind w:left="-90"/>
        <w:jc w:val="both"/>
        <w:rPr>
          <w:rFonts w:asciiTheme="majorHAnsi" w:hAnsiTheme="majorHAnsi" w:cstheme="majorHAnsi"/>
          <w:sz w:val="24"/>
          <w:szCs w:val="24"/>
        </w:rPr>
      </w:pPr>
    </w:p>
    <w:p w:rsidR="00326348" w:rsidRDefault="006D4B40" w:rsidP="00326348">
      <w:pPr>
        <w:tabs>
          <w:tab w:val="left" w:pos="6390"/>
          <w:tab w:val="left" w:pos="7740"/>
          <w:tab w:val="left" w:pos="7830"/>
        </w:tabs>
        <w:spacing w:after="0" w:line="240" w:lineRule="auto"/>
        <w:ind w:left="-90"/>
        <w:jc w:val="both"/>
        <w:rPr>
          <w:rFonts w:asciiTheme="majorHAnsi" w:hAnsiTheme="majorHAnsi" w:cstheme="majorHAnsi"/>
          <w:sz w:val="24"/>
          <w:szCs w:val="24"/>
        </w:rPr>
      </w:pPr>
      <w:r w:rsidRPr="00326348">
        <w:rPr>
          <w:rFonts w:asciiTheme="majorHAnsi" w:hAnsiTheme="majorHAnsi" w:cstheme="majorHAnsi"/>
          <w:sz w:val="24"/>
          <w:szCs w:val="24"/>
        </w:rPr>
        <w:t xml:space="preserve">The last issue to </w:t>
      </w:r>
      <w:r w:rsidR="003827D1" w:rsidRPr="00326348">
        <w:rPr>
          <w:rFonts w:asciiTheme="majorHAnsi" w:hAnsiTheme="majorHAnsi" w:cstheme="majorHAnsi"/>
          <w:sz w:val="24"/>
          <w:szCs w:val="24"/>
        </w:rPr>
        <w:t>highlight is th</w:t>
      </w:r>
      <w:r w:rsidR="008113F8" w:rsidRPr="00326348">
        <w:rPr>
          <w:rFonts w:asciiTheme="majorHAnsi" w:hAnsiTheme="majorHAnsi" w:cstheme="majorHAnsi"/>
          <w:sz w:val="24"/>
          <w:szCs w:val="24"/>
        </w:rPr>
        <w:t xml:space="preserve">e </w:t>
      </w:r>
      <w:r w:rsidR="001907F4" w:rsidRPr="00326348">
        <w:rPr>
          <w:rFonts w:asciiTheme="majorHAnsi" w:hAnsiTheme="majorHAnsi" w:cstheme="majorHAnsi"/>
          <w:sz w:val="24"/>
          <w:szCs w:val="24"/>
        </w:rPr>
        <w:t>sources of land to conduct</w:t>
      </w:r>
      <w:r w:rsidR="008113F8" w:rsidRPr="00326348">
        <w:rPr>
          <w:rFonts w:asciiTheme="majorHAnsi" w:hAnsiTheme="majorHAnsi" w:cstheme="majorHAnsi"/>
          <w:sz w:val="24"/>
          <w:szCs w:val="24"/>
        </w:rPr>
        <w:t xml:space="preserve"> real estate business. </w:t>
      </w:r>
      <w:r w:rsidR="00394345" w:rsidRPr="00326348">
        <w:rPr>
          <w:rFonts w:asciiTheme="majorHAnsi" w:hAnsiTheme="majorHAnsi" w:cstheme="majorHAnsi"/>
          <w:sz w:val="24"/>
          <w:szCs w:val="24"/>
        </w:rPr>
        <w:t xml:space="preserve">Under the Land Law, both domestic and foreign invested enterprises are entitled to receive capital contribution by way of land use right. Under Article 11 of the LREB, developers are entitled to develop real estate projects on various sources of land such as land allocated/leased by the State, land transferred/leased from </w:t>
      </w:r>
      <w:r w:rsidR="00C42F3A" w:rsidRPr="00326348">
        <w:rPr>
          <w:rFonts w:asciiTheme="majorHAnsi" w:hAnsiTheme="majorHAnsi" w:cstheme="majorHAnsi"/>
          <w:sz w:val="24"/>
          <w:szCs w:val="24"/>
        </w:rPr>
        <w:t>organizations</w:t>
      </w:r>
      <w:r w:rsidR="00394345" w:rsidRPr="00326348">
        <w:rPr>
          <w:rFonts w:asciiTheme="majorHAnsi" w:hAnsiTheme="majorHAnsi" w:cstheme="majorHAnsi"/>
          <w:sz w:val="24"/>
          <w:szCs w:val="24"/>
        </w:rPr>
        <w:t xml:space="preserve"> and individuals or land use right recognized by the State. </w:t>
      </w:r>
    </w:p>
    <w:p w:rsidR="00326348" w:rsidRDefault="00326348" w:rsidP="00326348">
      <w:pPr>
        <w:tabs>
          <w:tab w:val="left" w:pos="6390"/>
          <w:tab w:val="left" w:pos="7740"/>
          <w:tab w:val="left" w:pos="7830"/>
        </w:tabs>
        <w:spacing w:after="0" w:line="240" w:lineRule="auto"/>
        <w:ind w:left="-90"/>
        <w:jc w:val="both"/>
        <w:rPr>
          <w:rFonts w:asciiTheme="majorHAnsi" w:hAnsiTheme="majorHAnsi" w:cstheme="majorHAnsi"/>
          <w:sz w:val="24"/>
          <w:szCs w:val="24"/>
        </w:rPr>
      </w:pPr>
    </w:p>
    <w:p w:rsidR="00326348" w:rsidRDefault="00394345" w:rsidP="00326348">
      <w:pPr>
        <w:tabs>
          <w:tab w:val="left" w:pos="6390"/>
          <w:tab w:val="left" w:pos="7740"/>
          <w:tab w:val="left" w:pos="7830"/>
        </w:tabs>
        <w:spacing w:after="0" w:line="240" w:lineRule="auto"/>
        <w:ind w:left="-90"/>
        <w:jc w:val="both"/>
        <w:rPr>
          <w:rFonts w:asciiTheme="majorHAnsi" w:hAnsiTheme="majorHAnsi" w:cstheme="majorHAnsi"/>
          <w:b/>
          <w:sz w:val="24"/>
          <w:szCs w:val="24"/>
          <w:u w:val="single"/>
        </w:rPr>
      </w:pPr>
      <w:r w:rsidRPr="00326348">
        <w:rPr>
          <w:rFonts w:asciiTheme="majorHAnsi" w:hAnsiTheme="majorHAnsi" w:cstheme="majorHAnsi"/>
          <w:sz w:val="24"/>
          <w:szCs w:val="24"/>
        </w:rPr>
        <w:t xml:space="preserve">However, </w:t>
      </w:r>
      <w:r w:rsidR="00D4761B" w:rsidRPr="00326348">
        <w:rPr>
          <w:rFonts w:asciiTheme="majorHAnsi" w:hAnsiTheme="majorHAnsi" w:cstheme="majorHAnsi"/>
          <w:sz w:val="24"/>
          <w:szCs w:val="24"/>
        </w:rPr>
        <w:t xml:space="preserve">the LREB does not provide for the case </w:t>
      </w:r>
      <w:r w:rsidRPr="00326348">
        <w:rPr>
          <w:rFonts w:asciiTheme="majorHAnsi" w:hAnsiTheme="majorHAnsi" w:cstheme="majorHAnsi"/>
          <w:sz w:val="24"/>
          <w:szCs w:val="24"/>
        </w:rPr>
        <w:t>of</w:t>
      </w:r>
      <w:r w:rsidR="00D4761B" w:rsidRPr="00326348">
        <w:rPr>
          <w:rFonts w:asciiTheme="majorHAnsi" w:hAnsiTheme="majorHAnsi" w:cstheme="majorHAnsi"/>
          <w:sz w:val="24"/>
          <w:szCs w:val="24"/>
        </w:rPr>
        <w:t xml:space="preserve"> conducting real estate business on the</w:t>
      </w:r>
      <w:r w:rsidRPr="00326348">
        <w:rPr>
          <w:rFonts w:asciiTheme="majorHAnsi" w:hAnsiTheme="majorHAnsi" w:cstheme="majorHAnsi"/>
          <w:sz w:val="24"/>
          <w:szCs w:val="24"/>
        </w:rPr>
        <w:t xml:space="preserve"> land contributed as capital from </w:t>
      </w:r>
      <w:r w:rsidR="00C42F3A" w:rsidRPr="00326348">
        <w:rPr>
          <w:rFonts w:asciiTheme="majorHAnsi" w:hAnsiTheme="majorHAnsi" w:cstheme="majorHAnsi"/>
          <w:sz w:val="24"/>
          <w:szCs w:val="24"/>
        </w:rPr>
        <w:t>organizations</w:t>
      </w:r>
      <w:r w:rsidRPr="00326348">
        <w:rPr>
          <w:rFonts w:asciiTheme="majorHAnsi" w:hAnsiTheme="majorHAnsi" w:cstheme="majorHAnsi"/>
          <w:sz w:val="24"/>
          <w:szCs w:val="24"/>
        </w:rPr>
        <w:t xml:space="preserve"> and individuals. </w:t>
      </w:r>
      <w:r w:rsidR="005410D6" w:rsidRPr="00326348">
        <w:rPr>
          <w:rFonts w:asciiTheme="majorHAnsi" w:hAnsiTheme="majorHAnsi" w:cstheme="majorHAnsi"/>
          <w:sz w:val="24"/>
          <w:szCs w:val="24"/>
        </w:rPr>
        <w:t xml:space="preserve">As Article 11 of the LREB provides specific </w:t>
      </w:r>
      <w:r w:rsidR="006A4C45" w:rsidRPr="00326348">
        <w:rPr>
          <w:rFonts w:asciiTheme="majorHAnsi" w:hAnsiTheme="majorHAnsi" w:cstheme="majorHAnsi"/>
          <w:sz w:val="24"/>
          <w:szCs w:val="24"/>
        </w:rPr>
        <w:t xml:space="preserve">sources of receiving land use right to conduct real estate business, it seems that the LREB does not allow developers to obtain the land by receiving capital contribution by way of land use right. Given that the Land Law allows </w:t>
      </w:r>
      <w:r w:rsidR="00C42F3A" w:rsidRPr="00326348">
        <w:rPr>
          <w:rFonts w:asciiTheme="majorHAnsi" w:hAnsiTheme="majorHAnsi" w:cstheme="majorHAnsi"/>
          <w:sz w:val="24"/>
          <w:szCs w:val="24"/>
        </w:rPr>
        <w:t>organizations</w:t>
      </w:r>
      <w:r w:rsidR="006A4C45" w:rsidRPr="00326348">
        <w:rPr>
          <w:rFonts w:asciiTheme="majorHAnsi" w:hAnsiTheme="majorHAnsi" w:cstheme="majorHAnsi"/>
          <w:sz w:val="24"/>
          <w:szCs w:val="24"/>
        </w:rPr>
        <w:t xml:space="preserve"> to receive capital contribution by way of land use right, it is unclear why the LREB does not </w:t>
      </w:r>
      <w:r w:rsidR="00C42F3A" w:rsidRPr="00326348">
        <w:rPr>
          <w:rFonts w:asciiTheme="majorHAnsi" w:hAnsiTheme="majorHAnsi" w:cstheme="majorHAnsi"/>
          <w:sz w:val="24"/>
          <w:szCs w:val="24"/>
        </w:rPr>
        <w:t>recognize</w:t>
      </w:r>
      <w:r w:rsidR="006A4C45" w:rsidRPr="00326348">
        <w:rPr>
          <w:rFonts w:asciiTheme="majorHAnsi" w:hAnsiTheme="majorHAnsi" w:cstheme="majorHAnsi"/>
          <w:sz w:val="24"/>
          <w:szCs w:val="24"/>
        </w:rPr>
        <w:t xml:space="preserve"> it as a source of obtaining the land to conduct real estate business.</w:t>
      </w:r>
    </w:p>
    <w:p w:rsidR="00326348" w:rsidRDefault="00326348" w:rsidP="00326348">
      <w:pPr>
        <w:tabs>
          <w:tab w:val="left" w:pos="6390"/>
          <w:tab w:val="left" w:pos="7740"/>
          <w:tab w:val="left" w:pos="7830"/>
        </w:tabs>
        <w:spacing w:after="0" w:line="240" w:lineRule="auto"/>
        <w:ind w:left="-90"/>
        <w:jc w:val="both"/>
        <w:rPr>
          <w:rFonts w:asciiTheme="majorHAnsi" w:hAnsiTheme="majorHAnsi" w:cstheme="majorHAnsi"/>
          <w:b/>
          <w:sz w:val="24"/>
          <w:szCs w:val="24"/>
          <w:u w:val="single"/>
        </w:rPr>
      </w:pPr>
    </w:p>
    <w:p w:rsidR="00326348" w:rsidRPr="00326348" w:rsidRDefault="006D4B40" w:rsidP="00326348">
      <w:pPr>
        <w:tabs>
          <w:tab w:val="left" w:pos="6390"/>
          <w:tab w:val="left" w:pos="7740"/>
          <w:tab w:val="left" w:pos="7830"/>
        </w:tabs>
        <w:spacing w:after="0" w:line="240" w:lineRule="auto"/>
        <w:ind w:left="-90"/>
        <w:jc w:val="both"/>
        <w:rPr>
          <w:rFonts w:asciiTheme="majorHAnsi" w:hAnsiTheme="majorHAnsi" w:cstheme="majorHAnsi"/>
          <w:b/>
          <w:i/>
          <w:sz w:val="24"/>
          <w:szCs w:val="24"/>
        </w:rPr>
      </w:pPr>
      <w:r w:rsidRPr="00326348">
        <w:rPr>
          <w:rFonts w:asciiTheme="majorHAnsi" w:hAnsiTheme="majorHAnsi" w:cstheme="majorHAnsi"/>
          <w:b/>
          <w:i/>
          <w:sz w:val="24"/>
          <w:szCs w:val="24"/>
        </w:rPr>
        <w:t>Recommendation</w:t>
      </w:r>
      <w:r w:rsidR="00B7253D">
        <w:rPr>
          <w:rFonts w:asciiTheme="majorHAnsi" w:hAnsiTheme="majorHAnsi" w:cstheme="majorHAnsi"/>
          <w:b/>
          <w:i/>
          <w:sz w:val="24"/>
          <w:szCs w:val="24"/>
        </w:rPr>
        <w:t>s</w:t>
      </w:r>
      <w:r w:rsidRPr="00326348">
        <w:rPr>
          <w:rFonts w:asciiTheme="majorHAnsi" w:hAnsiTheme="majorHAnsi" w:cstheme="majorHAnsi"/>
          <w:b/>
          <w:i/>
          <w:sz w:val="24"/>
          <w:szCs w:val="24"/>
        </w:rPr>
        <w:t>:</w:t>
      </w:r>
    </w:p>
    <w:p w:rsidR="006D4B40" w:rsidRPr="00326348" w:rsidRDefault="006A4C45" w:rsidP="00326348">
      <w:pPr>
        <w:tabs>
          <w:tab w:val="left" w:pos="6390"/>
          <w:tab w:val="left" w:pos="7740"/>
          <w:tab w:val="left" w:pos="7830"/>
        </w:tabs>
        <w:spacing w:after="0" w:line="240" w:lineRule="auto"/>
        <w:ind w:left="-90"/>
        <w:jc w:val="both"/>
        <w:rPr>
          <w:rFonts w:asciiTheme="majorHAnsi" w:hAnsiTheme="majorHAnsi" w:cstheme="majorHAnsi"/>
          <w:b/>
          <w:sz w:val="24"/>
          <w:szCs w:val="24"/>
          <w:u w:val="single"/>
        </w:rPr>
      </w:pPr>
      <w:r w:rsidRPr="00573701">
        <w:rPr>
          <w:rFonts w:asciiTheme="majorHAnsi" w:hAnsiTheme="majorHAnsi" w:cstheme="majorHAnsi"/>
          <w:sz w:val="24"/>
          <w:szCs w:val="24"/>
        </w:rPr>
        <w:t xml:space="preserve">We suggest </w:t>
      </w:r>
      <w:r w:rsidRPr="00573701">
        <w:rPr>
          <w:rFonts w:asciiTheme="majorHAnsi" w:hAnsiTheme="majorHAnsi" w:cstheme="majorHAnsi"/>
          <w:sz w:val="24"/>
          <w:szCs w:val="24"/>
          <w:lang w:val="en-GB"/>
        </w:rPr>
        <w:t>that there should be a decree or circular to clarify that organisations are entitled to receive capital contribution by way of land use right to conduct real estate business</w:t>
      </w:r>
      <w:r w:rsidR="006D4B40" w:rsidRPr="00573701">
        <w:rPr>
          <w:rFonts w:asciiTheme="majorHAnsi" w:hAnsiTheme="majorHAnsi" w:cstheme="majorHAnsi"/>
          <w:sz w:val="24"/>
          <w:szCs w:val="24"/>
        </w:rPr>
        <w:t>.</w:t>
      </w:r>
    </w:p>
    <w:p w:rsidR="00326348" w:rsidRPr="00573701" w:rsidRDefault="00326348" w:rsidP="00326348">
      <w:pPr>
        <w:widowControl w:val="0"/>
        <w:tabs>
          <w:tab w:val="left" w:pos="1170"/>
          <w:tab w:val="left" w:pos="6390"/>
          <w:tab w:val="left" w:pos="7740"/>
          <w:tab w:val="left" w:pos="7830"/>
        </w:tabs>
        <w:spacing w:after="0" w:line="240" w:lineRule="auto"/>
        <w:jc w:val="both"/>
        <w:rPr>
          <w:rFonts w:asciiTheme="majorHAnsi" w:hAnsiTheme="majorHAnsi" w:cstheme="majorHAnsi"/>
          <w:sz w:val="24"/>
          <w:szCs w:val="24"/>
        </w:rPr>
      </w:pPr>
    </w:p>
    <w:p w:rsidR="005B10CE" w:rsidRDefault="005B10CE" w:rsidP="00573701">
      <w:pPr>
        <w:pStyle w:val="ListParagraph"/>
        <w:numPr>
          <w:ilvl w:val="0"/>
          <w:numId w:val="6"/>
        </w:numPr>
        <w:tabs>
          <w:tab w:val="left" w:pos="6390"/>
          <w:tab w:val="left" w:pos="7740"/>
          <w:tab w:val="left" w:pos="7830"/>
        </w:tabs>
        <w:spacing w:after="0" w:line="240" w:lineRule="auto"/>
        <w:ind w:left="360" w:hanging="450"/>
        <w:jc w:val="both"/>
        <w:rPr>
          <w:rFonts w:asciiTheme="majorHAnsi" w:hAnsiTheme="majorHAnsi" w:cstheme="majorHAnsi"/>
          <w:b/>
          <w:sz w:val="24"/>
          <w:szCs w:val="24"/>
        </w:rPr>
      </w:pPr>
      <w:r w:rsidRPr="00573701">
        <w:rPr>
          <w:rFonts w:asciiTheme="majorHAnsi" w:hAnsiTheme="majorHAnsi" w:cstheme="majorHAnsi"/>
          <w:b/>
          <w:sz w:val="24"/>
          <w:szCs w:val="24"/>
        </w:rPr>
        <w:t>CONCLUSION</w:t>
      </w:r>
    </w:p>
    <w:p w:rsidR="00573701" w:rsidRPr="00573701" w:rsidRDefault="00573701" w:rsidP="00573701">
      <w:pPr>
        <w:pStyle w:val="ListParagraph"/>
        <w:tabs>
          <w:tab w:val="left" w:pos="6390"/>
          <w:tab w:val="left" w:pos="7740"/>
          <w:tab w:val="left" w:pos="7830"/>
        </w:tabs>
        <w:spacing w:after="0" w:line="240" w:lineRule="auto"/>
        <w:ind w:left="360"/>
        <w:jc w:val="both"/>
        <w:rPr>
          <w:rFonts w:asciiTheme="majorHAnsi" w:hAnsiTheme="majorHAnsi" w:cstheme="majorHAnsi"/>
          <w:b/>
          <w:sz w:val="24"/>
          <w:szCs w:val="24"/>
        </w:rPr>
      </w:pPr>
    </w:p>
    <w:p w:rsidR="005B10CE" w:rsidRPr="00573701" w:rsidRDefault="005B10CE" w:rsidP="00326348">
      <w:pPr>
        <w:tabs>
          <w:tab w:val="left" w:pos="6390"/>
          <w:tab w:val="left" w:pos="7740"/>
          <w:tab w:val="left" w:pos="7830"/>
        </w:tabs>
        <w:spacing w:after="0" w:line="240" w:lineRule="auto"/>
        <w:ind w:left="-90"/>
        <w:jc w:val="both"/>
        <w:rPr>
          <w:rFonts w:asciiTheme="majorHAnsi" w:hAnsiTheme="majorHAnsi" w:cstheme="majorHAnsi"/>
          <w:sz w:val="24"/>
          <w:szCs w:val="24"/>
        </w:rPr>
      </w:pPr>
      <w:r w:rsidRPr="00326348">
        <w:rPr>
          <w:rFonts w:asciiTheme="majorHAnsi" w:hAnsiTheme="majorHAnsi" w:cstheme="majorHAnsi"/>
          <w:sz w:val="24"/>
          <w:szCs w:val="24"/>
        </w:rPr>
        <w:t xml:space="preserve">The points highlighted limit the rights of real estate enterprises, hence affecting the competitiveness in the real estate industry. The restrictions, onerous contribution obligation provided in the legislations and the lack of necessary guidelines </w:t>
      </w:r>
      <w:r w:rsidR="00A12C2D" w:rsidRPr="00326348">
        <w:rPr>
          <w:rFonts w:asciiTheme="majorHAnsi" w:hAnsiTheme="majorHAnsi" w:cstheme="majorHAnsi"/>
          <w:sz w:val="24"/>
          <w:szCs w:val="24"/>
        </w:rPr>
        <w:t xml:space="preserve">on implementation of the laws </w:t>
      </w:r>
      <w:r w:rsidRPr="00326348">
        <w:rPr>
          <w:rFonts w:asciiTheme="majorHAnsi" w:hAnsiTheme="majorHAnsi" w:cstheme="majorHAnsi"/>
          <w:sz w:val="24"/>
          <w:szCs w:val="24"/>
        </w:rPr>
        <w:t xml:space="preserve">create hurdles for investors seeking to invest in the real estate sector in Vietnam. The impact of the new laws, although increasing competitiveness in the real estate industry, is still keeping the full extent of foreign investment opportunities at bay. In view of the issues above and the Government’s commitment to ensure growth in the real estate industry, it is crucial for clear and consistent guidelines to be provided to eliminate any complications or confusion to the investors and </w:t>
      </w:r>
      <w:r w:rsidRPr="00573701">
        <w:rPr>
          <w:rFonts w:asciiTheme="majorHAnsi" w:hAnsiTheme="majorHAnsi" w:cstheme="majorHAnsi"/>
          <w:sz w:val="24"/>
          <w:szCs w:val="24"/>
        </w:rPr>
        <w:t>real estate</w:t>
      </w:r>
      <w:r w:rsidRPr="00326348">
        <w:rPr>
          <w:rFonts w:asciiTheme="majorHAnsi" w:hAnsiTheme="majorHAnsi" w:cstheme="majorHAnsi"/>
          <w:sz w:val="24"/>
          <w:szCs w:val="24"/>
        </w:rPr>
        <w:t xml:space="preserve"> buyers. The administrative procedures should also be simplified to expedite the process and onerous requirements should be removed to provide mor</w:t>
      </w:r>
      <w:bookmarkStart w:id="0" w:name="_GoBack"/>
      <w:bookmarkEnd w:id="0"/>
      <w:r w:rsidRPr="00326348">
        <w:rPr>
          <w:rFonts w:asciiTheme="majorHAnsi" w:hAnsiTheme="majorHAnsi" w:cstheme="majorHAnsi"/>
          <w:sz w:val="24"/>
          <w:szCs w:val="24"/>
        </w:rPr>
        <w:t xml:space="preserve">e flexibility to the investors. </w:t>
      </w:r>
      <w:r w:rsidRPr="00573701">
        <w:rPr>
          <w:rFonts w:asciiTheme="majorHAnsi" w:hAnsiTheme="majorHAnsi" w:cstheme="majorHAnsi"/>
          <w:sz w:val="24"/>
          <w:szCs w:val="24"/>
        </w:rPr>
        <w:t>These changes are critical to ensure that Vietnam continues to remain competitive in the region.</w:t>
      </w:r>
    </w:p>
    <w:p w:rsidR="002B0F2F" w:rsidRPr="00573701" w:rsidRDefault="002B0F2F" w:rsidP="00573701">
      <w:pPr>
        <w:tabs>
          <w:tab w:val="left" w:pos="1170"/>
          <w:tab w:val="left" w:pos="6390"/>
          <w:tab w:val="left" w:pos="7740"/>
          <w:tab w:val="left" w:pos="7830"/>
        </w:tabs>
        <w:spacing w:after="0" w:line="240" w:lineRule="auto"/>
        <w:rPr>
          <w:rFonts w:asciiTheme="majorHAnsi" w:hAnsiTheme="majorHAnsi" w:cstheme="majorHAnsi"/>
          <w:sz w:val="24"/>
          <w:szCs w:val="24"/>
        </w:rPr>
      </w:pPr>
    </w:p>
    <w:sectPr w:rsidR="002B0F2F" w:rsidRPr="00573701" w:rsidSect="00573701">
      <w:headerReference w:type="default" r:id="rId9"/>
      <w:footerReference w:type="default" r:id="rId10"/>
      <w:pgSz w:w="11909" w:h="16834" w:code="9"/>
      <w:pgMar w:top="1138" w:right="1138" w:bottom="1138"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2A8" w:rsidRDefault="00A442A8">
      <w:pPr>
        <w:spacing w:after="0" w:line="240" w:lineRule="auto"/>
      </w:pPr>
      <w:r>
        <w:separator/>
      </w:r>
    </w:p>
  </w:endnote>
  <w:endnote w:type="continuationSeparator" w:id="0">
    <w:p w:rsidR="00A442A8" w:rsidRDefault="00A442A8">
      <w:pPr>
        <w:spacing w:after="0" w:line="240" w:lineRule="auto"/>
      </w:pPr>
      <w:r>
        <w:continuationSeparator/>
      </w:r>
    </w:p>
  </w:endnote>
  <w:endnote w:type="continuationNotice" w:id="1">
    <w:p w:rsidR="00A442A8" w:rsidRDefault="00A442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w:altName w:val="Microsoft YaHei"/>
    <w:charset w:val="00"/>
    <w:family w:val="auto"/>
    <w:pitch w:val="variable"/>
    <w:sig w:usb0="00000001"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i/>
        <w:sz w:val="20"/>
        <w:szCs w:val="20"/>
      </w:rPr>
      <w:id w:val="515429640"/>
      <w:docPartObj>
        <w:docPartGallery w:val="Page Numbers (Bottom of Page)"/>
        <w:docPartUnique/>
      </w:docPartObj>
    </w:sdtPr>
    <w:sdtEndPr/>
    <w:sdtContent>
      <w:sdt>
        <w:sdtPr>
          <w:rPr>
            <w:rFonts w:asciiTheme="majorHAnsi" w:hAnsiTheme="majorHAnsi" w:cstheme="majorHAnsi"/>
            <w:i/>
            <w:sz w:val="20"/>
            <w:szCs w:val="20"/>
          </w:rPr>
          <w:id w:val="1728636285"/>
          <w:docPartObj>
            <w:docPartGallery w:val="Page Numbers (Top of Page)"/>
            <w:docPartUnique/>
          </w:docPartObj>
        </w:sdtPr>
        <w:sdtEndPr/>
        <w:sdtContent>
          <w:p w:rsidR="007D1882" w:rsidRPr="007D1882" w:rsidRDefault="007D1882">
            <w:pPr>
              <w:pStyle w:val="Footer"/>
              <w:jc w:val="center"/>
              <w:rPr>
                <w:rFonts w:asciiTheme="majorHAnsi" w:hAnsiTheme="majorHAnsi" w:cstheme="majorHAnsi"/>
                <w:i/>
                <w:sz w:val="20"/>
                <w:szCs w:val="20"/>
              </w:rPr>
            </w:pPr>
            <w:r w:rsidRPr="007D1882">
              <w:rPr>
                <w:rFonts w:asciiTheme="majorHAnsi" w:hAnsiTheme="majorHAnsi" w:cstheme="majorHAnsi"/>
                <w:i/>
                <w:sz w:val="20"/>
                <w:szCs w:val="20"/>
              </w:rPr>
              <w:t xml:space="preserve">Page </w:t>
            </w:r>
            <w:r w:rsidRPr="007D1882">
              <w:rPr>
                <w:rFonts w:asciiTheme="majorHAnsi" w:hAnsiTheme="majorHAnsi" w:cstheme="majorHAnsi"/>
                <w:bCs/>
                <w:i/>
                <w:sz w:val="20"/>
                <w:szCs w:val="20"/>
              </w:rPr>
              <w:fldChar w:fldCharType="begin"/>
            </w:r>
            <w:r w:rsidRPr="007D1882">
              <w:rPr>
                <w:rFonts w:asciiTheme="majorHAnsi" w:hAnsiTheme="majorHAnsi" w:cstheme="majorHAnsi"/>
                <w:bCs/>
                <w:i/>
                <w:sz w:val="20"/>
                <w:szCs w:val="20"/>
              </w:rPr>
              <w:instrText xml:space="preserve"> PAGE </w:instrText>
            </w:r>
            <w:r w:rsidRPr="007D1882">
              <w:rPr>
                <w:rFonts w:asciiTheme="majorHAnsi" w:hAnsiTheme="majorHAnsi" w:cstheme="majorHAnsi"/>
                <w:bCs/>
                <w:i/>
                <w:sz w:val="20"/>
                <w:szCs w:val="20"/>
              </w:rPr>
              <w:fldChar w:fldCharType="separate"/>
            </w:r>
            <w:r w:rsidR="00BC661B">
              <w:rPr>
                <w:rFonts w:asciiTheme="majorHAnsi" w:hAnsiTheme="majorHAnsi" w:cstheme="majorHAnsi"/>
                <w:bCs/>
                <w:i/>
                <w:noProof/>
                <w:sz w:val="20"/>
                <w:szCs w:val="20"/>
              </w:rPr>
              <w:t>6</w:t>
            </w:r>
            <w:r w:rsidRPr="007D1882">
              <w:rPr>
                <w:rFonts w:asciiTheme="majorHAnsi" w:hAnsiTheme="majorHAnsi" w:cstheme="majorHAnsi"/>
                <w:bCs/>
                <w:i/>
                <w:sz w:val="20"/>
                <w:szCs w:val="20"/>
              </w:rPr>
              <w:fldChar w:fldCharType="end"/>
            </w:r>
            <w:r w:rsidRPr="007D1882">
              <w:rPr>
                <w:rFonts w:asciiTheme="majorHAnsi" w:hAnsiTheme="majorHAnsi" w:cstheme="majorHAnsi"/>
                <w:i/>
                <w:sz w:val="20"/>
                <w:szCs w:val="20"/>
              </w:rPr>
              <w:t xml:space="preserve"> of </w:t>
            </w:r>
            <w:r w:rsidRPr="007D1882">
              <w:rPr>
                <w:rFonts w:asciiTheme="majorHAnsi" w:hAnsiTheme="majorHAnsi" w:cstheme="majorHAnsi"/>
                <w:bCs/>
                <w:i/>
                <w:sz w:val="20"/>
                <w:szCs w:val="20"/>
              </w:rPr>
              <w:fldChar w:fldCharType="begin"/>
            </w:r>
            <w:r w:rsidRPr="007D1882">
              <w:rPr>
                <w:rFonts w:asciiTheme="majorHAnsi" w:hAnsiTheme="majorHAnsi" w:cstheme="majorHAnsi"/>
                <w:bCs/>
                <w:i/>
                <w:sz w:val="20"/>
                <w:szCs w:val="20"/>
              </w:rPr>
              <w:instrText xml:space="preserve"> NUMPAGES  </w:instrText>
            </w:r>
            <w:r w:rsidRPr="007D1882">
              <w:rPr>
                <w:rFonts w:asciiTheme="majorHAnsi" w:hAnsiTheme="majorHAnsi" w:cstheme="majorHAnsi"/>
                <w:bCs/>
                <w:i/>
                <w:sz w:val="20"/>
                <w:szCs w:val="20"/>
              </w:rPr>
              <w:fldChar w:fldCharType="separate"/>
            </w:r>
            <w:r w:rsidR="00BC661B">
              <w:rPr>
                <w:rFonts w:asciiTheme="majorHAnsi" w:hAnsiTheme="majorHAnsi" w:cstheme="majorHAnsi"/>
                <w:bCs/>
                <w:i/>
                <w:noProof/>
                <w:sz w:val="20"/>
                <w:szCs w:val="20"/>
              </w:rPr>
              <w:t>6</w:t>
            </w:r>
            <w:r w:rsidRPr="007D1882">
              <w:rPr>
                <w:rFonts w:asciiTheme="majorHAnsi" w:hAnsiTheme="majorHAnsi" w:cstheme="majorHAnsi"/>
                <w:bCs/>
                <w:i/>
                <w:sz w:val="20"/>
                <w:szCs w:val="20"/>
              </w:rPr>
              <w:fldChar w:fldCharType="end"/>
            </w:r>
          </w:p>
        </w:sdtContent>
      </w:sdt>
    </w:sdtContent>
  </w:sdt>
  <w:p w:rsidR="007D1882" w:rsidRDefault="007D1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2A8" w:rsidRDefault="00A442A8">
      <w:pPr>
        <w:spacing w:after="0" w:line="240" w:lineRule="auto"/>
      </w:pPr>
      <w:r>
        <w:separator/>
      </w:r>
    </w:p>
  </w:footnote>
  <w:footnote w:type="continuationSeparator" w:id="0">
    <w:p w:rsidR="00A442A8" w:rsidRDefault="00A442A8">
      <w:pPr>
        <w:spacing w:after="0" w:line="240" w:lineRule="auto"/>
      </w:pPr>
      <w:r>
        <w:continuationSeparator/>
      </w:r>
    </w:p>
  </w:footnote>
  <w:footnote w:type="continuationNotice" w:id="1">
    <w:p w:rsidR="00A442A8" w:rsidRDefault="00A442A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7B5" w:rsidRPr="00573701" w:rsidRDefault="00452B0A">
    <w:pPr>
      <w:pStyle w:val="Header"/>
      <w:pBdr>
        <w:bottom w:val="single" w:sz="6" w:space="1" w:color="auto"/>
      </w:pBdr>
      <w:rPr>
        <w:rFonts w:asciiTheme="majorHAnsi" w:hAnsiTheme="majorHAnsi" w:cstheme="majorHAnsi"/>
        <w:i/>
        <w:sz w:val="20"/>
        <w:szCs w:val="20"/>
      </w:rPr>
    </w:pPr>
    <w:r>
      <w:rPr>
        <w:rFonts w:asciiTheme="majorHAnsi" w:hAnsiTheme="majorHAnsi" w:cstheme="majorHAnsi"/>
        <w:i/>
        <w:sz w:val="20"/>
        <w:szCs w:val="20"/>
      </w:rPr>
      <w:t xml:space="preserve">Position paper of Land </w:t>
    </w:r>
    <w:r w:rsidR="002004CB">
      <w:rPr>
        <w:rFonts w:asciiTheme="majorHAnsi" w:hAnsiTheme="majorHAnsi" w:cstheme="majorHAnsi"/>
        <w:i/>
        <w:sz w:val="20"/>
        <w:szCs w:val="20"/>
      </w:rPr>
      <w:t>Sub-</w:t>
    </w:r>
    <w:r>
      <w:rPr>
        <w:rFonts w:asciiTheme="majorHAnsi" w:hAnsiTheme="majorHAnsi" w:cstheme="majorHAnsi"/>
        <w:i/>
        <w:sz w:val="20"/>
        <w:szCs w:val="20"/>
      </w:rPr>
      <w:t xml:space="preserve">Working Group  </w:t>
    </w:r>
    <w:r w:rsidR="00573701" w:rsidRPr="00573701">
      <w:rPr>
        <w:rFonts w:asciiTheme="majorHAnsi" w:hAnsiTheme="majorHAnsi" w:cstheme="majorHAnsi"/>
        <w:i/>
        <w:sz w:val="20"/>
        <w:szCs w:val="20"/>
      </w:rPr>
      <w:t xml:space="preserve">                        </w:t>
    </w:r>
    <w:r w:rsidR="002004CB">
      <w:rPr>
        <w:rFonts w:asciiTheme="majorHAnsi" w:hAnsiTheme="majorHAnsi" w:cstheme="majorHAnsi"/>
        <w:i/>
        <w:sz w:val="20"/>
        <w:szCs w:val="20"/>
      </w:rPr>
      <w:t xml:space="preserve">                           </w:t>
    </w:r>
    <w:r w:rsidR="00573701" w:rsidRPr="00573701">
      <w:rPr>
        <w:rFonts w:asciiTheme="majorHAnsi" w:hAnsiTheme="majorHAnsi" w:cstheme="majorHAnsi"/>
        <w:i/>
        <w:sz w:val="20"/>
        <w:szCs w:val="20"/>
      </w:rPr>
      <w:t>Annual Vietnam Business Forum, 2017</w:t>
    </w:r>
  </w:p>
  <w:p w:rsidR="00573701" w:rsidRPr="00573701" w:rsidRDefault="00573701">
    <w:pPr>
      <w:pStyle w:val="Header"/>
      <w:rPr>
        <w:rFonts w:asciiTheme="majorHAnsi" w:hAnsiTheme="majorHAnsi" w:cstheme="majorHAnsi"/>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52922"/>
    <w:multiLevelType w:val="hybridMultilevel"/>
    <w:tmpl w:val="0FC43F5E"/>
    <w:lvl w:ilvl="0" w:tplc="04090015">
      <w:start w:val="1"/>
      <w:numFmt w:val="upperLetter"/>
      <w:lvlText w:val="%1."/>
      <w:lvlJc w:val="left"/>
      <w:pPr>
        <w:ind w:left="1530" w:hanging="1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12697A"/>
    <w:multiLevelType w:val="hybridMultilevel"/>
    <w:tmpl w:val="57D0479A"/>
    <w:lvl w:ilvl="0" w:tplc="042A0001">
      <w:start w:val="1"/>
      <w:numFmt w:val="bullet"/>
      <w:lvlText w:val=""/>
      <w:lvlJc w:val="left"/>
      <w:pPr>
        <w:ind w:left="1854" w:hanging="360"/>
      </w:pPr>
      <w:rPr>
        <w:rFonts w:ascii="Symbol" w:hAnsi="Symbol" w:hint="default"/>
      </w:rPr>
    </w:lvl>
    <w:lvl w:ilvl="1" w:tplc="042A0003" w:tentative="1">
      <w:start w:val="1"/>
      <w:numFmt w:val="bullet"/>
      <w:lvlText w:val="o"/>
      <w:lvlJc w:val="left"/>
      <w:pPr>
        <w:ind w:left="2574" w:hanging="360"/>
      </w:pPr>
      <w:rPr>
        <w:rFonts w:ascii="Courier New" w:hAnsi="Courier New" w:cs="Courier New" w:hint="default"/>
      </w:rPr>
    </w:lvl>
    <w:lvl w:ilvl="2" w:tplc="042A0005" w:tentative="1">
      <w:start w:val="1"/>
      <w:numFmt w:val="bullet"/>
      <w:lvlText w:val=""/>
      <w:lvlJc w:val="left"/>
      <w:pPr>
        <w:ind w:left="3294" w:hanging="360"/>
      </w:pPr>
      <w:rPr>
        <w:rFonts w:ascii="Wingdings" w:hAnsi="Wingdings" w:hint="default"/>
      </w:rPr>
    </w:lvl>
    <w:lvl w:ilvl="3" w:tplc="042A0001" w:tentative="1">
      <w:start w:val="1"/>
      <w:numFmt w:val="bullet"/>
      <w:lvlText w:val=""/>
      <w:lvlJc w:val="left"/>
      <w:pPr>
        <w:ind w:left="4014" w:hanging="360"/>
      </w:pPr>
      <w:rPr>
        <w:rFonts w:ascii="Symbol" w:hAnsi="Symbol" w:hint="default"/>
      </w:rPr>
    </w:lvl>
    <w:lvl w:ilvl="4" w:tplc="042A0003" w:tentative="1">
      <w:start w:val="1"/>
      <w:numFmt w:val="bullet"/>
      <w:lvlText w:val="o"/>
      <w:lvlJc w:val="left"/>
      <w:pPr>
        <w:ind w:left="4734" w:hanging="360"/>
      </w:pPr>
      <w:rPr>
        <w:rFonts w:ascii="Courier New" w:hAnsi="Courier New" w:cs="Courier New" w:hint="default"/>
      </w:rPr>
    </w:lvl>
    <w:lvl w:ilvl="5" w:tplc="042A0005" w:tentative="1">
      <w:start w:val="1"/>
      <w:numFmt w:val="bullet"/>
      <w:lvlText w:val=""/>
      <w:lvlJc w:val="left"/>
      <w:pPr>
        <w:ind w:left="5454" w:hanging="360"/>
      </w:pPr>
      <w:rPr>
        <w:rFonts w:ascii="Wingdings" w:hAnsi="Wingdings" w:hint="default"/>
      </w:rPr>
    </w:lvl>
    <w:lvl w:ilvl="6" w:tplc="042A0001" w:tentative="1">
      <w:start w:val="1"/>
      <w:numFmt w:val="bullet"/>
      <w:lvlText w:val=""/>
      <w:lvlJc w:val="left"/>
      <w:pPr>
        <w:ind w:left="6174" w:hanging="360"/>
      </w:pPr>
      <w:rPr>
        <w:rFonts w:ascii="Symbol" w:hAnsi="Symbol" w:hint="default"/>
      </w:rPr>
    </w:lvl>
    <w:lvl w:ilvl="7" w:tplc="042A0003" w:tentative="1">
      <w:start w:val="1"/>
      <w:numFmt w:val="bullet"/>
      <w:lvlText w:val="o"/>
      <w:lvlJc w:val="left"/>
      <w:pPr>
        <w:ind w:left="6894" w:hanging="360"/>
      </w:pPr>
      <w:rPr>
        <w:rFonts w:ascii="Courier New" w:hAnsi="Courier New" w:cs="Courier New" w:hint="default"/>
      </w:rPr>
    </w:lvl>
    <w:lvl w:ilvl="8" w:tplc="042A0005" w:tentative="1">
      <w:start w:val="1"/>
      <w:numFmt w:val="bullet"/>
      <w:lvlText w:val=""/>
      <w:lvlJc w:val="left"/>
      <w:pPr>
        <w:ind w:left="7614" w:hanging="360"/>
      </w:pPr>
      <w:rPr>
        <w:rFonts w:ascii="Wingdings" w:hAnsi="Wingdings" w:hint="default"/>
      </w:rPr>
    </w:lvl>
  </w:abstractNum>
  <w:abstractNum w:abstractNumId="2">
    <w:nsid w:val="42643D47"/>
    <w:multiLevelType w:val="hybridMultilevel"/>
    <w:tmpl w:val="F8A2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E737E"/>
    <w:multiLevelType w:val="hybridMultilevel"/>
    <w:tmpl w:val="675EDE44"/>
    <w:lvl w:ilvl="0" w:tplc="3F540262">
      <w:start w:val="1"/>
      <w:numFmt w:val="bullet"/>
      <w:lvlText w:val="-"/>
      <w:lvlJc w:val="left"/>
      <w:pPr>
        <w:ind w:left="720" w:hanging="360"/>
      </w:pPr>
      <w:rPr>
        <w:rFonts w:ascii="DIN" w:eastAsiaTheme="minorEastAsia" w:hAnsi="DI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FA7FDF"/>
    <w:multiLevelType w:val="hybridMultilevel"/>
    <w:tmpl w:val="B4EAEC8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754358B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7E"/>
    <w:rsid w:val="00001D8E"/>
    <w:rsid w:val="00010338"/>
    <w:rsid w:val="00016BC5"/>
    <w:rsid w:val="00054C72"/>
    <w:rsid w:val="0007566A"/>
    <w:rsid w:val="00077790"/>
    <w:rsid w:val="000779F0"/>
    <w:rsid w:val="000A2AEB"/>
    <w:rsid w:val="000A6C46"/>
    <w:rsid w:val="000D38D6"/>
    <w:rsid w:val="000E36B0"/>
    <w:rsid w:val="000E5332"/>
    <w:rsid w:val="000F397F"/>
    <w:rsid w:val="000F3EFB"/>
    <w:rsid w:val="001224B1"/>
    <w:rsid w:val="0012598C"/>
    <w:rsid w:val="00125B15"/>
    <w:rsid w:val="0013340A"/>
    <w:rsid w:val="00137B54"/>
    <w:rsid w:val="00145B08"/>
    <w:rsid w:val="00153939"/>
    <w:rsid w:val="0016568B"/>
    <w:rsid w:val="001907F4"/>
    <w:rsid w:val="001A1BFD"/>
    <w:rsid w:val="001B753C"/>
    <w:rsid w:val="002004CB"/>
    <w:rsid w:val="002106E1"/>
    <w:rsid w:val="00211710"/>
    <w:rsid w:val="00214C32"/>
    <w:rsid w:val="00215FEA"/>
    <w:rsid w:val="00220C51"/>
    <w:rsid w:val="00246FBA"/>
    <w:rsid w:val="00251FA6"/>
    <w:rsid w:val="002B0F2F"/>
    <w:rsid w:val="002F70C2"/>
    <w:rsid w:val="00311472"/>
    <w:rsid w:val="00326348"/>
    <w:rsid w:val="0033564A"/>
    <w:rsid w:val="0036018A"/>
    <w:rsid w:val="00361F1E"/>
    <w:rsid w:val="00372CD1"/>
    <w:rsid w:val="00373FD1"/>
    <w:rsid w:val="003801B9"/>
    <w:rsid w:val="0038128D"/>
    <w:rsid w:val="003827D1"/>
    <w:rsid w:val="003835FF"/>
    <w:rsid w:val="0039194F"/>
    <w:rsid w:val="00394345"/>
    <w:rsid w:val="003C06CB"/>
    <w:rsid w:val="003C5389"/>
    <w:rsid w:val="003C622F"/>
    <w:rsid w:val="003E20B6"/>
    <w:rsid w:val="00400D43"/>
    <w:rsid w:val="00421CBA"/>
    <w:rsid w:val="00451BF5"/>
    <w:rsid w:val="00452B0A"/>
    <w:rsid w:val="00474306"/>
    <w:rsid w:val="004C60D3"/>
    <w:rsid w:val="004F0AA0"/>
    <w:rsid w:val="005316CF"/>
    <w:rsid w:val="005410D6"/>
    <w:rsid w:val="0055282E"/>
    <w:rsid w:val="00556709"/>
    <w:rsid w:val="00564A6F"/>
    <w:rsid w:val="00573701"/>
    <w:rsid w:val="00580217"/>
    <w:rsid w:val="005A39B4"/>
    <w:rsid w:val="005B10CE"/>
    <w:rsid w:val="005B5A58"/>
    <w:rsid w:val="005E4F55"/>
    <w:rsid w:val="005E6664"/>
    <w:rsid w:val="005F0B5D"/>
    <w:rsid w:val="006807DE"/>
    <w:rsid w:val="0068667E"/>
    <w:rsid w:val="00695180"/>
    <w:rsid w:val="006A4C45"/>
    <w:rsid w:val="006D3E9B"/>
    <w:rsid w:val="006D411E"/>
    <w:rsid w:val="006D4B40"/>
    <w:rsid w:val="006E22B0"/>
    <w:rsid w:val="006F05D7"/>
    <w:rsid w:val="006F53B6"/>
    <w:rsid w:val="0074047B"/>
    <w:rsid w:val="007526DD"/>
    <w:rsid w:val="0078351F"/>
    <w:rsid w:val="00785DB2"/>
    <w:rsid w:val="007A748E"/>
    <w:rsid w:val="007B486A"/>
    <w:rsid w:val="007D1882"/>
    <w:rsid w:val="008027FE"/>
    <w:rsid w:val="00804AB5"/>
    <w:rsid w:val="008113F8"/>
    <w:rsid w:val="00826342"/>
    <w:rsid w:val="00835675"/>
    <w:rsid w:val="00864B6B"/>
    <w:rsid w:val="008A665C"/>
    <w:rsid w:val="008C212D"/>
    <w:rsid w:val="008D73EB"/>
    <w:rsid w:val="00910D88"/>
    <w:rsid w:val="00914232"/>
    <w:rsid w:val="009256B8"/>
    <w:rsid w:val="009329F5"/>
    <w:rsid w:val="00975497"/>
    <w:rsid w:val="00976652"/>
    <w:rsid w:val="009767C7"/>
    <w:rsid w:val="009B09E7"/>
    <w:rsid w:val="009E3D1B"/>
    <w:rsid w:val="009F44AD"/>
    <w:rsid w:val="00A07125"/>
    <w:rsid w:val="00A12C2D"/>
    <w:rsid w:val="00A442A8"/>
    <w:rsid w:val="00A45B14"/>
    <w:rsid w:val="00A524B8"/>
    <w:rsid w:val="00A83703"/>
    <w:rsid w:val="00A839D5"/>
    <w:rsid w:val="00AA1A41"/>
    <w:rsid w:val="00AA2741"/>
    <w:rsid w:val="00AA5A93"/>
    <w:rsid w:val="00AC7D71"/>
    <w:rsid w:val="00B05C44"/>
    <w:rsid w:val="00B12175"/>
    <w:rsid w:val="00B3408D"/>
    <w:rsid w:val="00B34766"/>
    <w:rsid w:val="00B55734"/>
    <w:rsid w:val="00B64344"/>
    <w:rsid w:val="00B7253D"/>
    <w:rsid w:val="00B83EF3"/>
    <w:rsid w:val="00B927B7"/>
    <w:rsid w:val="00B94C88"/>
    <w:rsid w:val="00BB5366"/>
    <w:rsid w:val="00BC661B"/>
    <w:rsid w:val="00BC6E78"/>
    <w:rsid w:val="00BD4BFA"/>
    <w:rsid w:val="00BF17F2"/>
    <w:rsid w:val="00C01194"/>
    <w:rsid w:val="00C27F00"/>
    <w:rsid w:val="00C324B8"/>
    <w:rsid w:val="00C4258F"/>
    <w:rsid w:val="00C42F3A"/>
    <w:rsid w:val="00C549F9"/>
    <w:rsid w:val="00C67498"/>
    <w:rsid w:val="00C755DD"/>
    <w:rsid w:val="00C7596D"/>
    <w:rsid w:val="00CB3A8D"/>
    <w:rsid w:val="00CC2BB8"/>
    <w:rsid w:val="00CE56DD"/>
    <w:rsid w:val="00CF42B4"/>
    <w:rsid w:val="00D0700C"/>
    <w:rsid w:val="00D07841"/>
    <w:rsid w:val="00D4761B"/>
    <w:rsid w:val="00D623D6"/>
    <w:rsid w:val="00D8350F"/>
    <w:rsid w:val="00D97B2C"/>
    <w:rsid w:val="00E00AB0"/>
    <w:rsid w:val="00E24CA7"/>
    <w:rsid w:val="00E32107"/>
    <w:rsid w:val="00E445B6"/>
    <w:rsid w:val="00E4566A"/>
    <w:rsid w:val="00E52EC9"/>
    <w:rsid w:val="00E6146E"/>
    <w:rsid w:val="00E72583"/>
    <w:rsid w:val="00E73A5B"/>
    <w:rsid w:val="00E85449"/>
    <w:rsid w:val="00E87349"/>
    <w:rsid w:val="00EB68F1"/>
    <w:rsid w:val="00EB7526"/>
    <w:rsid w:val="00ED2D3E"/>
    <w:rsid w:val="00ED4CE0"/>
    <w:rsid w:val="00EF298F"/>
    <w:rsid w:val="00EF56DD"/>
    <w:rsid w:val="00F01A54"/>
    <w:rsid w:val="00F1441F"/>
    <w:rsid w:val="00F163CA"/>
    <w:rsid w:val="00F16C4F"/>
    <w:rsid w:val="00F1707F"/>
    <w:rsid w:val="00F2684F"/>
    <w:rsid w:val="00F30366"/>
    <w:rsid w:val="00F433F3"/>
    <w:rsid w:val="00F70506"/>
    <w:rsid w:val="00F86BF7"/>
    <w:rsid w:val="00F91F77"/>
    <w:rsid w:val="00FD4932"/>
    <w:rsid w:val="00FD4E55"/>
    <w:rsid w:val="00FD7672"/>
    <w:rsid w:val="00FE1FFA"/>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CE"/>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0CE"/>
    <w:pPr>
      <w:ind w:left="720"/>
      <w:contextualSpacing/>
    </w:pPr>
  </w:style>
  <w:style w:type="paragraph" w:styleId="Header">
    <w:name w:val="header"/>
    <w:basedOn w:val="Normal"/>
    <w:link w:val="HeaderChar"/>
    <w:uiPriority w:val="99"/>
    <w:unhideWhenUsed/>
    <w:rsid w:val="005B10CE"/>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5B10CE"/>
    <w:rPr>
      <w:lang w:val="en-US"/>
    </w:rPr>
  </w:style>
  <w:style w:type="paragraph" w:styleId="Footer">
    <w:name w:val="footer"/>
    <w:basedOn w:val="Normal"/>
    <w:link w:val="FooterChar"/>
    <w:uiPriority w:val="99"/>
    <w:unhideWhenUsed/>
    <w:rsid w:val="005B1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0CE"/>
    <w:rPr>
      <w:rFonts w:eastAsiaTheme="minorEastAsia"/>
      <w:lang w:val="en-US" w:eastAsia="zh-CN"/>
    </w:rPr>
  </w:style>
  <w:style w:type="paragraph" w:styleId="BalloonText">
    <w:name w:val="Balloon Text"/>
    <w:basedOn w:val="Normal"/>
    <w:link w:val="BalloonTextChar"/>
    <w:uiPriority w:val="99"/>
    <w:semiHidden/>
    <w:unhideWhenUsed/>
    <w:rsid w:val="005E6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664"/>
    <w:rPr>
      <w:rFonts w:ascii="Tahoma" w:eastAsiaTheme="minorEastAsia" w:hAnsi="Tahoma" w:cs="Tahoma"/>
      <w:sz w:val="16"/>
      <w:szCs w:val="16"/>
      <w:lang w:val="en-US" w:eastAsia="zh-CN"/>
    </w:rPr>
  </w:style>
  <w:style w:type="table" w:styleId="TableGrid">
    <w:name w:val="Table Grid"/>
    <w:basedOn w:val="TableNormal"/>
    <w:uiPriority w:val="59"/>
    <w:rsid w:val="00BB5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CE"/>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0CE"/>
    <w:pPr>
      <w:ind w:left="720"/>
      <w:contextualSpacing/>
    </w:pPr>
  </w:style>
  <w:style w:type="paragraph" w:styleId="Header">
    <w:name w:val="header"/>
    <w:basedOn w:val="Normal"/>
    <w:link w:val="HeaderChar"/>
    <w:uiPriority w:val="99"/>
    <w:unhideWhenUsed/>
    <w:rsid w:val="005B10CE"/>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5B10CE"/>
    <w:rPr>
      <w:lang w:val="en-US"/>
    </w:rPr>
  </w:style>
  <w:style w:type="paragraph" w:styleId="Footer">
    <w:name w:val="footer"/>
    <w:basedOn w:val="Normal"/>
    <w:link w:val="FooterChar"/>
    <w:uiPriority w:val="99"/>
    <w:unhideWhenUsed/>
    <w:rsid w:val="005B1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0CE"/>
    <w:rPr>
      <w:rFonts w:eastAsiaTheme="minorEastAsia"/>
      <w:lang w:val="en-US" w:eastAsia="zh-CN"/>
    </w:rPr>
  </w:style>
  <w:style w:type="paragraph" w:styleId="BalloonText">
    <w:name w:val="Balloon Text"/>
    <w:basedOn w:val="Normal"/>
    <w:link w:val="BalloonTextChar"/>
    <w:uiPriority w:val="99"/>
    <w:semiHidden/>
    <w:unhideWhenUsed/>
    <w:rsid w:val="005E6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664"/>
    <w:rPr>
      <w:rFonts w:ascii="Tahoma" w:eastAsiaTheme="minorEastAsia" w:hAnsi="Tahoma" w:cs="Tahoma"/>
      <w:sz w:val="16"/>
      <w:szCs w:val="16"/>
      <w:lang w:val="en-US" w:eastAsia="zh-CN"/>
    </w:rPr>
  </w:style>
  <w:style w:type="table" w:styleId="TableGrid">
    <w:name w:val="Table Grid"/>
    <w:basedOn w:val="TableNormal"/>
    <w:uiPriority w:val="59"/>
    <w:rsid w:val="00BB5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382238">
      <w:bodyDiv w:val="1"/>
      <w:marLeft w:val="0"/>
      <w:marRight w:val="0"/>
      <w:marTop w:val="0"/>
      <w:marBottom w:val="0"/>
      <w:divBdr>
        <w:top w:val="none" w:sz="0" w:space="0" w:color="auto"/>
        <w:left w:val="none" w:sz="0" w:space="0" w:color="auto"/>
        <w:bottom w:val="none" w:sz="0" w:space="0" w:color="auto"/>
        <w:right w:val="none" w:sz="0" w:space="0" w:color="auto"/>
      </w:divBdr>
    </w:div>
    <w:div w:id="17301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5F1CB-3464-4855-A142-0617DF4F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3048</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ZICOlaw</Company>
  <LinksUpToDate>false</LinksUpToDate>
  <CharactersWithSpaces>20382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ZICOlaw</dc:creator>
  <cp:lastModifiedBy>Dell</cp:lastModifiedBy>
  <cp:revision>7</cp:revision>
  <cp:lastPrinted>2017-12-09T18:03:00Z</cp:lastPrinted>
  <dcterms:created xsi:type="dcterms:W3CDTF">2017-12-07T12:36:00Z</dcterms:created>
  <dcterms:modified xsi:type="dcterms:W3CDTF">2017-12-09T18:03:00Z</dcterms:modified>
</cp:coreProperties>
</file>